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043A" w14:textId="77777777" w:rsidR="008965A6" w:rsidRPr="0013614E" w:rsidRDefault="008965A6" w:rsidP="008965A6">
      <w:pPr>
        <w:spacing w:before="0" w:after="0"/>
        <w:rPr>
          <w:rFonts w:asciiTheme="minorHAnsi" w:hAnsiTheme="minorHAnsi" w:cstheme="minorHAnsi"/>
          <w:vanish/>
          <w:color w:val="538135" w:themeColor="accent6" w:themeShade="BF"/>
        </w:rPr>
      </w:pPr>
    </w:p>
    <w:p w14:paraId="1AC00A60" w14:textId="57C56EB0" w:rsidR="000E7987" w:rsidRDefault="008E67CD" w:rsidP="008E67CD">
      <w:pPr>
        <w:pStyle w:val="Title1"/>
      </w:pPr>
      <w:r>
        <w:t>Computing</w:t>
      </w:r>
      <w:r w:rsidR="00F107F7" w:rsidRPr="0013614E">
        <w:t xml:space="preserve"> Policy </w:t>
      </w:r>
    </w:p>
    <w:p w14:paraId="7A6A435D" w14:textId="0E5654DE" w:rsidR="00AB6D1D" w:rsidRPr="0013614E" w:rsidRDefault="000E7987" w:rsidP="000852CF">
      <w:pPr>
        <w:pStyle w:val="Title1"/>
      </w:pPr>
      <w:r w:rsidRPr="0013614E">
        <w:t>Bushmead Primary School</w:t>
      </w:r>
    </w:p>
    <w:p w14:paraId="6D3856C0" w14:textId="06AA1E7A" w:rsidR="00F845FC" w:rsidRPr="008E67CD" w:rsidRDefault="004E7207" w:rsidP="008E67CD">
      <w:pPr>
        <w:pStyle w:val="Title1"/>
      </w:pPr>
      <w:r w:rsidRPr="0013614E">
        <w:rPr>
          <w:noProof/>
          <w:lang w:eastAsia="en-GB"/>
        </w:rPr>
        <w:drawing>
          <wp:inline distT="0" distB="0" distL="0" distR="0" wp14:anchorId="3F8722E1" wp14:editId="3E51DEC4">
            <wp:extent cx="3009432" cy="1558456"/>
            <wp:effectExtent l="0" t="0" r="635" b="3810"/>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shmead.png"/>
                    <pic:cNvPicPr/>
                  </pic:nvPicPr>
                  <pic:blipFill>
                    <a:blip r:embed="rId8"/>
                    <a:stretch>
                      <a:fillRect/>
                    </a:stretch>
                  </pic:blipFill>
                  <pic:spPr>
                    <a:xfrm>
                      <a:off x="0" y="0"/>
                      <a:ext cx="3015177" cy="1561431"/>
                    </a:xfrm>
                    <a:prstGeom prst="rect">
                      <a:avLst/>
                    </a:prstGeom>
                  </pic:spPr>
                </pic:pic>
              </a:graphicData>
            </a:graphic>
          </wp:inline>
        </w:drawing>
      </w:r>
      <w:bookmarkStart w:id="0" w:name="_Toc492996804"/>
    </w:p>
    <w:p w14:paraId="2565041B" w14:textId="77777777" w:rsidR="00F845FC" w:rsidRPr="000852CF" w:rsidRDefault="00F845FC" w:rsidP="00E77025">
      <w:pPr>
        <w:rPr>
          <w:rFonts w:asciiTheme="minorHAnsi" w:hAnsiTheme="minorHAnsi" w:cstheme="minorHAnsi"/>
          <w:b/>
          <w:sz w:val="28"/>
        </w:rPr>
      </w:pPr>
    </w:p>
    <w:p w14:paraId="2F5B3921" w14:textId="77777777" w:rsidR="00E77025" w:rsidRPr="000852CF" w:rsidRDefault="00E77025" w:rsidP="00E77025">
      <w:pPr>
        <w:rPr>
          <w:rFonts w:asciiTheme="minorHAnsi" w:hAnsiTheme="minorHAnsi" w:cstheme="minorHAnsi"/>
          <w:b/>
          <w:sz w:val="28"/>
        </w:rPr>
      </w:pPr>
      <w:r w:rsidRPr="000852CF">
        <w:rPr>
          <w:rFonts w:asciiTheme="minorHAnsi" w:hAnsiTheme="minorHAnsi" w:cstheme="minorHAnsi"/>
          <w:b/>
          <w:sz w:val="28"/>
        </w:rPr>
        <w:t>Contents</w:t>
      </w:r>
    </w:p>
    <w:p w14:paraId="326E474F" w14:textId="77777777" w:rsidR="0013614E" w:rsidRPr="000852CF" w:rsidRDefault="0013614E" w:rsidP="0013614E">
      <w:pPr>
        <w:rPr>
          <w:rFonts w:asciiTheme="minorHAnsi" w:hAnsiTheme="minorHAnsi" w:cstheme="minorHAnsi"/>
        </w:rPr>
      </w:pPr>
      <w:bookmarkStart w:id="1" w:name="_Toc492996803"/>
      <w:r w:rsidRPr="000852CF">
        <w:rPr>
          <w:rFonts w:asciiTheme="minorHAnsi" w:hAnsiTheme="minorHAnsi" w:cstheme="minorHAnsi"/>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111"/>
        <w:gridCol w:w="1187"/>
      </w:tblGrid>
      <w:tr w:rsidR="0013614E" w:rsidRPr="000852CF" w14:paraId="50B90A4F" w14:textId="77777777">
        <w:tc>
          <w:tcPr>
            <w:tcW w:w="2410" w:type="dxa"/>
          </w:tcPr>
          <w:p w14:paraId="4BB26BA7"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1.</w:t>
            </w:r>
          </w:p>
        </w:tc>
        <w:tc>
          <w:tcPr>
            <w:tcW w:w="4111" w:type="dxa"/>
          </w:tcPr>
          <w:p w14:paraId="16D8CA39" w14:textId="25033E19" w:rsidR="0013614E"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Aims</w:t>
            </w:r>
          </w:p>
        </w:tc>
        <w:tc>
          <w:tcPr>
            <w:tcW w:w="1187" w:type="dxa"/>
          </w:tcPr>
          <w:p w14:paraId="15D2BD68" w14:textId="7C16FBDA" w:rsidR="0013614E" w:rsidRPr="000852CF" w:rsidRDefault="0013614E">
            <w:pPr>
              <w:jc w:val="right"/>
              <w:rPr>
                <w:rFonts w:asciiTheme="minorHAnsi" w:hAnsiTheme="minorHAnsi" w:cstheme="minorHAnsi"/>
                <w:noProof/>
                <w:sz w:val="22"/>
                <w:szCs w:val="22"/>
              </w:rPr>
            </w:pPr>
            <w:r w:rsidRPr="000852CF">
              <w:rPr>
                <w:rFonts w:asciiTheme="minorHAnsi" w:hAnsiTheme="minorHAnsi" w:cstheme="minorHAnsi"/>
                <w:noProof/>
                <w:sz w:val="22"/>
                <w:szCs w:val="22"/>
              </w:rPr>
              <w:t>1</w:t>
            </w:r>
          </w:p>
        </w:tc>
      </w:tr>
      <w:tr w:rsidR="0013614E" w:rsidRPr="000852CF" w14:paraId="59B8B207" w14:textId="77777777">
        <w:tc>
          <w:tcPr>
            <w:tcW w:w="2410" w:type="dxa"/>
          </w:tcPr>
          <w:p w14:paraId="65CD5622"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2.</w:t>
            </w:r>
          </w:p>
        </w:tc>
        <w:tc>
          <w:tcPr>
            <w:tcW w:w="4111" w:type="dxa"/>
          </w:tcPr>
          <w:p w14:paraId="116E439A"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Legislation and guidance</w:t>
            </w:r>
          </w:p>
        </w:tc>
        <w:tc>
          <w:tcPr>
            <w:tcW w:w="1187" w:type="dxa"/>
          </w:tcPr>
          <w:p w14:paraId="4E2417FA" w14:textId="4AE1FF5C" w:rsidR="0013614E" w:rsidRPr="000852CF" w:rsidRDefault="00DF2B92">
            <w:pPr>
              <w:jc w:val="right"/>
              <w:rPr>
                <w:rFonts w:asciiTheme="minorHAnsi" w:hAnsiTheme="minorHAnsi" w:cstheme="minorHAnsi"/>
                <w:noProof/>
                <w:sz w:val="22"/>
                <w:szCs w:val="22"/>
              </w:rPr>
            </w:pPr>
            <w:r w:rsidRPr="000852CF">
              <w:rPr>
                <w:rFonts w:asciiTheme="minorHAnsi" w:hAnsiTheme="minorHAnsi" w:cstheme="minorHAnsi"/>
                <w:noProof/>
                <w:sz w:val="22"/>
                <w:szCs w:val="22"/>
              </w:rPr>
              <w:t>1</w:t>
            </w:r>
          </w:p>
        </w:tc>
      </w:tr>
      <w:tr w:rsidR="0013614E" w:rsidRPr="000852CF" w14:paraId="0230F50A" w14:textId="77777777">
        <w:tc>
          <w:tcPr>
            <w:tcW w:w="2410" w:type="dxa"/>
          </w:tcPr>
          <w:p w14:paraId="1D929913"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3.</w:t>
            </w:r>
          </w:p>
        </w:tc>
        <w:tc>
          <w:tcPr>
            <w:tcW w:w="4111" w:type="dxa"/>
          </w:tcPr>
          <w:p w14:paraId="1C074246"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Definitions</w:t>
            </w:r>
          </w:p>
        </w:tc>
        <w:tc>
          <w:tcPr>
            <w:tcW w:w="1187" w:type="dxa"/>
          </w:tcPr>
          <w:p w14:paraId="5D863F22" w14:textId="02E8A83C" w:rsidR="0013614E" w:rsidRPr="000852CF" w:rsidRDefault="0013614E">
            <w:pPr>
              <w:jc w:val="right"/>
              <w:rPr>
                <w:rFonts w:asciiTheme="minorHAnsi" w:hAnsiTheme="minorHAnsi" w:cstheme="minorHAnsi"/>
                <w:noProof/>
                <w:sz w:val="22"/>
                <w:szCs w:val="22"/>
              </w:rPr>
            </w:pPr>
          </w:p>
        </w:tc>
      </w:tr>
      <w:tr w:rsidR="0013614E" w:rsidRPr="000852CF" w14:paraId="6B1116D2" w14:textId="77777777">
        <w:tc>
          <w:tcPr>
            <w:tcW w:w="2410" w:type="dxa"/>
          </w:tcPr>
          <w:p w14:paraId="2B353383"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4.</w:t>
            </w:r>
          </w:p>
        </w:tc>
        <w:tc>
          <w:tcPr>
            <w:tcW w:w="4111" w:type="dxa"/>
          </w:tcPr>
          <w:p w14:paraId="3305E8E2"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Roles and responsibilities</w:t>
            </w:r>
          </w:p>
        </w:tc>
        <w:tc>
          <w:tcPr>
            <w:tcW w:w="1187" w:type="dxa"/>
          </w:tcPr>
          <w:p w14:paraId="04C3EABD" w14:textId="3FE19B5B" w:rsidR="0013614E" w:rsidRPr="000852CF" w:rsidRDefault="0013614E">
            <w:pPr>
              <w:jc w:val="right"/>
              <w:rPr>
                <w:rFonts w:asciiTheme="minorHAnsi" w:hAnsiTheme="minorHAnsi" w:cstheme="minorHAnsi"/>
                <w:noProof/>
                <w:sz w:val="22"/>
                <w:szCs w:val="22"/>
              </w:rPr>
            </w:pPr>
          </w:p>
        </w:tc>
      </w:tr>
      <w:tr w:rsidR="0013614E" w:rsidRPr="000852CF" w14:paraId="3113C061" w14:textId="77777777">
        <w:tc>
          <w:tcPr>
            <w:tcW w:w="2410" w:type="dxa"/>
          </w:tcPr>
          <w:p w14:paraId="09A55F0B"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5.</w:t>
            </w:r>
          </w:p>
        </w:tc>
        <w:tc>
          <w:tcPr>
            <w:tcW w:w="4111" w:type="dxa"/>
          </w:tcPr>
          <w:p w14:paraId="283BDA13" w14:textId="125E6021" w:rsidR="0013614E"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Rationale</w:t>
            </w:r>
          </w:p>
        </w:tc>
        <w:tc>
          <w:tcPr>
            <w:tcW w:w="1187" w:type="dxa"/>
          </w:tcPr>
          <w:p w14:paraId="1B29E3C5" w14:textId="5F5BF68D" w:rsidR="0013614E" w:rsidRPr="000852CF" w:rsidRDefault="0013614E">
            <w:pPr>
              <w:jc w:val="right"/>
              <w:rPr>
                <w:rFonts w:asciiTheme="minorHAnsi" w:hAnsiTheme="minorHAnsi" w:cstheme="minorHAnsi"/>
                <w:noProof/>
                <w:sz w:val="22"/>
                <w:szCs w:val="22"/>
              </w:rPr>
            </w:pPr>
          </w:p>
        </w:tc>
      </w:tr>
      <w:tr w:rsidR="008E67CD" w:rsidRPr="000852CF" w14:paraId="1D7250A0" w14:textId="77777777">
        <w:tc>
          <w:tcPr>
            <w:tcW w:w="2410" w:type="dxa"/>
          </w:tcPr>
          <w:p w14:paraId="63F3C39B" w14:textId="26F12D75"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6.</w:t>
            </w:r>
          </w:p>
        </w:tc>
        <w:tc>
          <w:tcPr>
            <w:tcW w:w="4111" w:type="dxa"/>
          </w:tcPr>
          <w:p w14:paraId="19A3F57E" w14:textId="2D91995E"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Objectives</w:t>
            </w:r>
          </w:p>
        </w:tc>
        <w:tc>
          <w:tcPr>
            <w:tcW w:w="1187" w:type="dxa"/>
          </w:tcPr>
          <w:p w14:paraId="420D90A1" w14:textId="77777777" w:rsidR="008E67CD" w:rsidRPr="000852CF" w:rsidRDefault="008E67CD">
            <w:pPr>
              <w:jc w:val="right"/>
              <w:rPr>
                <w:rFonts w:asciiTheme="minorHAnsi" w:hAnsiTheme="minorHAnsi" w:cstheme="minorHAnsi"/>
                <w:noProof/>
                <w:sz w:val="22"/>
                <w:szCs w:val="22"/>
              </w:rPr>
            </w:pPr>
          </w:p>
        </w:tc>
      </w:tr>
      <w:tr w:rsidR="008E67CD" w:rsidRPr="000852CF" w14:paraId="27D17446" w14:textId="77777777">
        <w:tc>
          <w:tcPr>
            <w:tcW w:w="2410" w:type="dxa"/>
          </w:tcPr>
          <w:p w14:paraId="458BBF53" w14:textId="28F4F6CB"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7.</w:t>
            </w:r>
          </w:p>
        </w:tc>
        <w:tc>
          <w:tcPr>
            <w:tcW w:w="4111" w:type="dxa"/>
          </w:tcPr>
          <w:p w14:paraId="1D37ABA5" w14:textId="4E53966D"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Resources and access</w:t>
            </w:r>
          </w:p>
        </w:tc>
        <w:tc>
          <w:tcPr>
            <w:tcW w:w="1187" w:type="dxa"/>
          </w:tcPr>
          <w:p w14:paraId="7BC0A045" w14:textId="77777777" w:rsidR="008E67CD" w:rsidRPr="000852CF" w:rsidRDefault="008E67CD">
            <w:pPr>
              <w:jc w:val="right"/>
              <w:rPr>
                <w:rFonts w:asciiTheme="minorHAnsi" w:hAnsiTheme="minorHAnsi" w:cstheme="minorHAnsi"/>
                <w:noProof/>
                <w:sz w:val="22"/>
                <w:szCs w:val="22"/>
              </w:rPr>
            </w:pPr>
          </w:p>
        </w:tc>
      </w:tr>
      <w:tr w:rsidR="008E67CD" w:rsidRPr="000852CF" w14:paraId="6A3682FE" w14:textId="77777777">
        <w:tc>
          <w:tcPr>
            <w:tcW w:w="2410" w:type="dxa"/>
          </w:tcPr>
          <w:p w14:paraId="2D50CB37" w14:textId="70323880"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8.</w:t>
            </w:r>
          </w:p>
        </w:tc>
        <w:tc>
          <w:tcPr>
            <w:tcW w:w="4111" w:type="dxa"/>
          </w:tcPr>
          <w:p w14:paraId="0F90C00B" w14:textId="1A849A74"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Planning</w:t>
            </w:r>
          </w:p>
        </w:tc>
        <w:tc>
          <w:tcPr>
            <w:tcW w:w="1187" w:type="dxa"/>
          </w:tcPr>
          <w:p w14:paraId="3F242F47" w14:textId="77777777" w:rsidR="008E67CD" w:rsidRPr="000852CF" w:rsidRDefault="008E67CD">
            <w:pPr>
              <w:jc w:val="right"/>
              <w:rPr>
                <w:rFonts w:asciiTheme="minorHAnsi" w:hAnsiTheme="minorHAnsi" w:cstheme="minorHAnsi"/>
                <w:noProof/>
                <w:sz w:val="22"/>
                <w:szCs w:val="22"/>
              </w:rPr>
            </w:pPr>
          </w:p>
        </w:tc>
      </w:tr>
      <w:tr w:rsidR="008E67CD" w:rsidRPr="000852CF" w14:paraId="29F873CD" w14:textId="77777777">
        <w:tc>
          <w:tcPr>
            <w:tcW w:w="2410" w:type="dxa"/>
          </w:tcPr>
          <w:p w14:paraId="484C400F" w14:textId="2DCBEC13"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9.</w:t>
            </w:r>
          </w:p>
        </w:tc>
        <w:tc>
          <w:tcPr>
            <w:tcW w:w="4111" w:type="dxa"/>
          </w:tcPr>
          <w:p w14:paraId="30426DF8" w14:textId="5D4ADA67"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Assessment and record keeping</w:t>
            </w:r>
          </w:p>
        </w:tc>
        <w:tc>
          <w:tcPr>
            <w:tcW w:w="1187" w:type="dxa"/>
          </w:tcPr>
          <w:p w14:paraId="7F8199DB" w14:textId="77777777" w:rsidR="008E67CD" w:rsidRPr="000852CF" w:rsidRDefault="008E67CD">
            <w:pPr>
              <w:jc w:val="right"/>
              <w:rPr>
                <w:rFonts w:asciiTheme="minorHAnsi" w:hAnsiTheme="minorHAnsi" w:cstheme="minorHAnsi"/>
                <w:noProof/>
                <w:sz w:val="22"/>
                <w:szCs w:val="22"/>
              </w:rPr>
            </w:pPr>
          </w:p>
        </w:tc>
      </w:tr>
      <w:tr w:rsidR="0013614E" w:rsidRPr="000852CF" w14:paraId="0BB695EB" w14:textId="77777777">
        <w:tc>
          <w:tcPr>
            <w:tcW w:w="2410" w:type="dxa"/>
          </w:tcPr>
          <w:p w14:paraId="29B34E33" w14:textId="3B4376E9" w:rsidR="0013614E"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10.</w:t>
            </w:r>
          </w:p>
        </w:tc>
        <w:tc>
          <w:tcPr>
            <w:tcW w:w="4111" w:type="dxa"/>
          </w:tcPr>
          <w:p w14:paraId="5ECBD4E4"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Monitoring arrrangements</w:t>
            </w:r>
          </w:p>
        </w:tc>
        <w:tc>
          <w:tcPr>
            <w:tcW w:w="1187" w:type="dxa"/>
          </w:tcPr>
          <w:p w14:paraId="4CB30AEA" w14:textId="3F95E0E8" w:rsidR="0013614E" w:rsidRPr="000852CF" w:rsidRDefault="0013614E">
            <w:pPr>
              <w:jc w:val="right"/>
              <w:rPr>
                <w:rFonts w:asciiTheme="minorHAnsi" w:hAnsiTheme="minorHAnsi" w:cstheme="minorHAnsi"/>
                <w:noProof/>
                <w:sz w:val="22"/>
                <w:szCs w:val="22"/>
              </w:rPr>
            </w:pPr>
          </w:p>
        </w:tc>
      </w:tr>
      <w:tr w:rsidR="008E67CD" w:rsidRPr="000852CF" w14:paraId="7A52479F" w14:textId="77777777">
        <w:tc>
          <w:tcPr>
            <w:tcW w:w="2410" w:type="dxa"/>
          </w:tcPr>
          <w:p w14:paraId="4C82B0AE" w14:textId="7E1B8709"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11.</w:t>
            </w:r>
          </w:p>
        </w:tc>
        <w:tc>
          <w:tcPr>
            <w:tcW w:w="4111" w:type="dxa"/>
          </w:tcPr>
          <w:p w14:paraId="4CC0F3FA" w14:textId="08DB02CF" w:rsidR="008E67CD"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Equal opportunities</w:t>
            </w:r>
          </w:p>
        </w:tc>
        <w:tc>
          <w:tcPr>
            <w:tcW w:w="1187" w:type="dxa"/>
          </w:tcPr>
          <w:p w14:paraId="215CA5D3" w14:textId="77777777" w:rsidR="008E67CD" w:rsidRPr="000852CF" w:rsidRDefault="008E67CD">
            <w:pPr>
              <w:jc w:val="right"/>
              <w:rPr>
                <w:rFonts w:asciiTheme="minorHAnsi" w:hAnsiTheme="minorHAnsi" w:cstheme="minorHAnsi"/>
                <w:noProof/>
                <w:sz w:val="22"/>
                <w:szCs w:val="22"/>
              </w:rPr>
            </w:pPr>
          </w:p>
        </w:tc>
      </w:tr>
      <w:tr w:rsidR="0013614E" w:rsidRPr="000852CF" w14:paraId="24B42640" w14:textId="77777777">
        <w:tc>
          <w:tcPr>
            <w:tcW w:w="2410" w:type="dxa"/>
          </w:tcPr>
          <w:p w14:paraId="76A202DA" w14:textId="4054F853" w:rsidR="0013614E" w:rsidRPr="000852CF" w:rsidRDefault="008E67CD">
            <w:pPr>
              <w:rPr>
                <w:rFonts w:asciiTheme="minorHAnsi" w:hAnsiTheme="minorHAnsi" w:cstheme="minorHAnsi"/>
                <w:noProof/>
                <w:sz w:val="22"/>
                <w:szCs w:val="22"/>
              </w:rPr>
            </w:pPr>
            <w:r w:rsidRPr="000852CF">
              <w:rPr>
                <w:rFonts w:asciiTheme="minorHAnsi" w:hAnsiTheme="minorHAnsi" w:cstheme="minorHAnsi"/>
                <w:noProof/>
                <w:sz w:val="22"/>
                <w:szCs w:val="22"/>
              </w:rPr>
              <w:t>12.</w:t>
            </w:r>
          </w:p>
        </w:tc>
        <w:tc>
          <w:tcPr>
            <w:tcW w:w="4111" w:type="dxa"/>
          </w:tcPr>
          <w:p w14:paraId="40546506" w14:textId="77777777" w:rsidR="0013614E" w:rsidRPr="000852CF" w:rsidRDefault="0013614E">
            <w:pPr>
              <w:rPr>
                <w:rFonts w:asciiTheme="minorHAnsi" w:hAnsiTheme="minorHAnsi" w:cstheme="minorHAnsi"/>
                <w:noProof/>
                <w:sz w:val="22"/>
                <w:szCs w:val="22"/>
              </w:rPr>
            </w:pPr>
            <w:r w:rsidRPr="000852CF">
              <w:rPr>
                <w:rFonts w:asciiTheme="minorHAnsi" w:hAnsiTheme="minorHAnsi" w:cstheme="minorHAnsi"/>
                <w:noProof/>
                <w:sz w:val="22"/>
                <w:szCs w:val="22"/>
              </w:rPr>
              <w:t>Link with other policies and documents</w:t>
            </w:r>
          </w:p>
        </w:tc>
        <w:tc>
          <w:tcPr>
            <w:tcW w:w="1187" w:type="dxa"/>
          </w:tcPr>
          <w:p w14:paraId="00B46C87" w14:textId="57268742" w:rsidR="0013614E" w:rsidRPr="000852CF" w:rsidRDefault="0013614E">
            <w:pPr>
              <w:jc w:val="right"/>
              <w:rPr>
                <w:rFonts w:asciiTheme="minorHAnsi" w:hAnsiTheme="minorHAnsi" w:cstheme="minorHAnsi"/>
                <w:noProof/>
                <w:sz w:val="22"/>
                <w:szCs w:val="22"/>
              </w:rPr>
            </w:pPr>
          </w:p>
        </w:tc>
      </w:tr>
    </w:tbl>
    <w:p w14:paraId="21239142" w14:textId="77777777" w:rsidR="00192EE4" w:rsidRPr="000852CF" w:rsidRDefault="00192EE4" w:rsidP="0013614E">
      <w:pPr>
        <w:rPr>
          <w:rFonts w:asciiTheme="minorHAnsi" w:hAnsiTheme="minorHAnsi" w:cstheme="minorHAnsi"/>
        </w:rPr>
        <w:sectPr w:rsidR="00192EE4" w:rsidRPr="000852CF" w:rsidSect="00F845FC">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567" w:footer="567" w:gutter="0"/>
          <w:cols w:space="708"/>
          <w:titlePg/>
          <w:docGrid w:linePitch="360"/>
        </w:sectPr>
      </w:pPr>
    </w:p>
    <w:p w14:paraId="2B46DFD8" w14:textId="77777777" w:rsidR="00E77025" w:rsidRPr="000852CF" w:rsidRDefault="00E77025" w:rsidP="008E67CD">
      <w:pPr>
        <w:pStyle w:val="Heading1"/>
        <w:rPr>
          <w:rFonts w:asciiTheme="minorHAnsi" w:hAnsiTheme="minorHAnsi" w:cstheme="minorHAnsi"/>
        </w:rPr>
      </w:pPr>
      <w:r w:rsidRPr="000852CF">
        <w:rPr>
          <w:rFonts w:asciiTheme="minorHAnsi" w:hAnsiTheme="minorHAnsi" w:cstheme="minorHAnsi"/>
        </w:rPr>
        <w:lastRenderedPageBreak/>
        <w:t>1. Aims</w:t>
      </w:r>
      <w:bookmarkEnd w:id="1"/>
    </w:p>
    <w:p w14:paraId="644A0487" w14:textId="24FDDAAD" w:rsidR="008E67CD" w:rsidRPr="000852CF" w:rsidRDefault="008E67CD"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The use of information and communication technology is an integral part of the national curriculum and is a key skill for everyday life. Computers, tablets, programmable robots, digital and video cameras are a few of the tools that can be used to acquire, organise, store, manipulate, interpret, </w:t>
      </w:r>
      <w:proofErr w:type="gramStart"/>
      <w:r w:rsidRPr="000852CF">
        <w:rPr>
          <w:rFonts w:asciiTheme="minorHAnsi" w:hAnsiTheme="minorHAnsi" w:cstheme="minorHAnsi"/>
          <w:sz w:val="22"/>
          <w:szCs w:val="22"/>
        </w:rPr>
        <w:t>communicate</w:t>
      </w:r>
      <w:proofErr w:type="gramEnd"/>
      <w:r w:rsidRPr="000852CF">
        <w:rPr>
          <w:rFonts w:asciiTheme="minorHAnsi" w:hAnsiTheme="minorHAnsi" w:cstheme="minorHAnsi"/>
          <w:sz w:val="22"/>
          <w:szCs w:val="22"/>
        </w:rPr>
        <w:t xml:space="preserve"> and present information. We recognise that pupils are entitled to quality hardware and software and a structured and progressive approach to the learning of the skills needed to enable them to use it effectively. The scope of our curriculum enables our children to understand that there is always a choice with using technology. At our school, and by the end of KS2, our pupils are </w:t>
      </w:r>
      <w:proofErr w:type="gramStart"/>
      <w:r w:rsidRPr="000852CF">
        <w:rPr>
          <w:rFonts w:asciiTheme="minorHAnsi" w:hAnsiTheme="minorHAnsi" w:cstheme="minorHAnsi"/>
          <w:sz w:val="22"/>
          <w:szCs w:val="22"/>
        </w:rPr>
        <w:t>masters of technology</w:t>
      </w:r>
      <w:proofErr w:type="gramEnd"/>
      <w:r w:rsidRPr="000852CF">
        <w:rPr>
          <w:rFonts w:asciiTheme="minorHAnsi" w:hAnsiTheme="minorHAnsi" w:cstheme="minorHAnsi"/>
          <w:sz w:val="22"/>
          <w:szCs w:val="22"/>
        </w:rPr>
        <w:t xml:space="preserve"> and computational thinkers by knowing how technology can work for them through a rigorous, coherent and sequential learning journey. Computing is both the children’s rights and responsibilities.</w:t>
      </w:r>
      <w:r w:rsidR="00905849">
        <w:rPr>
          <w:rFonts w:asciiTheme="minorHAnsi" w:hAnsiTheme="minorHAnsi" w:cstheme="minorHAnsi"/>
          <w:sz w:val="22"/>
          <w:szCs w:val="22"/>
        </w:rPr>
        <w:t xml:space="preserve"> Our curriculum aims to:</w:t>
      </w:r>
    </w:p>
    <w:p w14:paraId="1B01A8ED" w14:textId="77777777" w:rsidR="008E67CD" w:rsidRPr="000852CF" w:rsidRDefault="008E67CD" w:rsidP="00905849">
      <w:pPr>
        <w:pStyle w:val="NormalWeb"/>
        <w:numPr>
          <w:ilvl w:val="0"/>
          <w:numId w:val="13"/>
        </w:numPr>
        <w:jc w:val="both"/>
        <w:rPr>
          <w:rFonts w:asciiTheme="minorHAnsi" w:hAnsiTheme="minorHAnsi" w:cstheme="minorHAnsi"/>
          <w:sz w:val="22"/>
          <w:szCs w:val="22"/>
          <w:lang w:eastAsia="en-GB"/>
        </w:rPr>
      </w:pPr>
      <w:r w:rsidRPr="000852CF">
        <w:rPr>
          <w:rFonts w:asciiTheme="minorHAnsi" w:hAnsiTheme="minorHAnsi" w:cstheme="minorHAnsi"/>
          <w:sz w:val="22"/>
          <w:szCs w:val="22"/>
        </w:rPr>
        <w:t xml:space="preserve">Provide a relevant, </w:t>
      </w:r>
      <w:proofErr w:type="gramStart"/>
      <w:r w:rsidRPr="000852CF">
        <w:rPr>
          <w:rFonts w:asciiTheme="minorHAnsi" w:hAnsiTheme="minorHAnsi" w:cstheme="minorHAnsi"/>
          <w:sz w:val="22"/>
          <w:szCs w:val="22"/>
        </w:rPr>
        <w:t>challenging</w:t>
      </w:r>
      <w:proofErr w:type="gramEnd"/>
      <w:r w:rsidRPr="000852CF">
        <w:rPr>
          <w:rFonts w:asciiTheme="minorHAnsi" w:hAnsiTheme="minorHAnsi" w:cstheme="minorHAnsi"/>
          <w:sz w:val="22"/>
          <w:szCs w:val="22"/>
        </w:rPr>
        <w:t xml:space="preserve"> and enjoyable curriculum for computing for all pupils. </w:t>
      </w:r>
    </w:p>
    <w:p w14:paraId="29BA3EAD" w14:textId="157B8387" w:rsidR="008E67CD"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 xml:space="preserve">Meet the requirements of the national curriculum programmes of study for computing. </w:t>
      </w:r>
    </w:p>
    <w:p w14:paraId="69033DA0" w14:textId="77777777" w:rsidR="008E67CD"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 xml:space="preserve">Use computing as a tool to enhance learning throughout the curriculum. </w:t>
      </w:r>
    </w:p>
    <w:p w14:paraId="3C60079B" w14:textId="77777777" w:rsidR="008E67CD"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 xml:space="preserve">To respond to new developments in technology. </w:t>
      </w:r>
    </w:p>
    <w:p w14:paraId="554C4248" w14:textId="77D0B117" w:rsidR="008E67CD"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 xml:space="preserve">To equip pupils with the confidence and capability to use computing throughout their later life. </w:t>
      </w:r>
    </w:p>
    <w:p w14:paraId="6997A137" w14:textId="77777777" w:rsidR="008E67CD"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 xml:space="preserve">To enhance learning in other areas of the curriculum using computing. </w:t>
      </w:r>
    </w:p>
    <w:p w14:paraId="7910ABBF" w14:textId="77777777" w:rsidR="008E67CD"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 xml:space="preserve">To develop the understanding of how to use computing safely and responsibly. </w:t>
      </w:r>
    </w:p>
    <w:p w14:paraId="59063DB4" w14:textId="4EA05C7D" w:rsidR="00E77025" w:rsidRPr="000852CF" w:rsidRDefault="008E67CD" w:rsidP="00905849">
      <w:pPr>
        <w:pStyle w:val="NormalWeb"/>
        <w:numPr>
          <w:ilvl w:val="0"/>
          <w:numId w:val="13"/>
        </w:numPr>
        <w:jc w:val="both"/>
        <w:rPr>
          <w:rFonts w:asciiTheme="minorHAnsi" w:hAnsiTheme="minorHAnsi" w:cstheme="minorHAnsi"/>
          <w:sz w:val="22"/>
          <w:szCs w:val="22"/>
        </w:rPr>
      </w:pPr>
      <w:r w:rsidRPr="000852CF">
        <w:rPr>
          <w:rFonts w:asciiTheme="minorHAnsi" w:hAnsiTheme="minorHAnsi" w:cstheme="minorHAnsi"/>
          <w:sz w:val="22"/>
          <w:szCs w:val="22"/>
        </w:rPr>
        <w:t>To educate all pupils that computing is a right and a responsibility that they should uphold.</w:t>
      </w:r>
    </w:p>
    <w:p w14:paraId="5F7A133B" w14:textId="7DBA64D9" w:rsidR="002C1DB7" w:rsidRPr="000852CF" w:rsidRDefault="00456549" w:rsidP="00905849">
      <w:pPr>
        <w:pStyle w:val="Heading1"/>
        <w:jc w:val="both"/>
        <w:rPr>
          <w:rFonts w:asciiTheme="minorHAnsi" w:hAnsiTheme="minorHAnsi" w:cstheme="minorHAnsi"/>
        </w:rPr>
      </w:pPr>
      <w:r w:rsidRPr="000852CF">
        <w:rPr>
          <w:rFonts w:asciiTheme="minorHAnsi" w:hAnsiTheme="minorHAnsi" w:cstheme="minorHAnsi"/>
        </w:rPr>
        <w:t xml:space="preserve">2. </w:t>
      </w:r>
      <w:bookmarkEnd w:id="0"/>
      <w:r w:rsidR="000852CF">
        <w:rPr>
          <w:rFonts w:asciiTheme="minorHAnsi" w:hAnsiTheme="minorHAnsi" w:cstheme="minorHAnsi"/>
        </w:rPr>
        <w:t>Intent statement</w:t>
      </w:r>
      <w:r w:rsidR="002C1DB7" w:rsidRPr="000852CF">
        <w:rPr>
          <w:rFonts w:asciiTheme="minorHAnsi" w:hAnsiTheme="minorHAnsi" w:cstheme="minorHAnsi"/>
        </w:rPr>
        <w:t xml:space="preserve"> </w:t>
      </w:r>
    </w:p>
    <w:p w14:paraId="6940AD66" w14:textId="77777777" w:rsidR="0056634C" w:rsidRPr="000852CF" w:rsidRDefault="00E573E8" w:rsidP="00905849">
      <w:pPr>
        <w:jc w:val="both"/>
        <w:rPr>
          <w:rFonts w:asciiTheme="minorHAnsi" w:hAnsiTheme="minorHAnsi" w:cstheme="minorHAnsi"/>
          <w:sz w:val="22"/>
        </w:rPr>
      </w:pPr>
      <w:r w:rsidRPr="000852CF">
        <w:rPr>
          <w:rFonts w:asciiTheme="minorHAnsi" w:hAnsiTheme="minorHAnsi" w:cstheme="minorHAnsi"/>
          <w:sz w:val="22"/>
        </w:rPr>
        <w:t xml:space="preserve">This </w:t>
      </w:r>
    </w:p>
    <w:p w14:paraId="47293E39" w14:textId="2A5CCD36" w:rsidR="0022398E" w:rsidRPr="000852CF" w:rsidRDefault="000852CF" w:rsidP="00905849">
      <w:pPr>
        <w:pStyle w:val="Heading1"/>
        <w:jc w:val="both"/>
        <w:rPr>
          <w:rFonts w:asciiTheme="minorHAnsi" w:hAnsiTheme="minorHAnsi" w:cstheme="minorHAnsi"/>
        </w:rPr>
      </w:pPr>
      <w:bookmarkStart w:id="2" w:name="_Toc362853008"/>
      <w:bookmarkStart w:id="3" w:name="_Toc492996806"/>
      <w:r>
        <w:rPr>
          <w:rFonts w:asciiTheme="minorHAnsi" w:hAnsiTheme="minorHAnsi" w:cstheme="minorHAnsi"/>
        </w:rPr>
        <w:t>3</w:t>
      </w:r>
      <w:r w:rsidR="00456549" w:rsidRPr="000852CF">
        <w:rPr>
          <w:rFonts w:asciiTheme="minorHAnsi" w:hAnsiTheme="minorHAnsi" w:cstheme="minorHAnsi"/>
        </w:rPr>
        <w:t xml:space="preserve">. </w:t>
      </w:r>
      <w:r w:rsidR="00E573E8" w:rsidRPr="000852CF">
        <w:rPr>
          <w:rFonts w:asciiTheme="minorHAnsi" w:hAnsiTheme="minorHAnsi" w:cstheme="minorHAnsi"/>
        </w:rPr>
        <w:t>Roles and responsibilities</w:t>
      </w:r>
      <w:bookmarkEnd w:id="2"/>
      <w:bookmarkEnd w:id="3"/>
    </w:p>
    <w:p w14:paraId="7F0DF075" w14:textId="41B3D5DB" w:rsidR="0013614E" w:rsidRPr="000852CF" w:rsidRDefault="000852CF" w:rsidP="00905849">
      <w:pPr>
        <w:jc w:val="both"/>
        <w:rPr>
          <w:rFonts w:asciiTheme="minorHAnsi" w:hAnsiTheme="minorHAnsi" w:cstheme="minorHAnsi"/>
          <w:b/>
          <w:sz w:val="22"/>
          <w:szCs w:val="22"/>
        </w:rPr>
      </w:pPr>
      <w:r>
        <w:rPr>
          <w:rFonts w:asciiTheme="minorHAnsi" w:hAnsiTheme="minorHAnsi" w:cstheme="minorHAnsi"/>
          <w:b/>
          <w:sz w:val="22"/>
          <w:szCs w:val="22"/>
        </w:rPr>
        <w:t>3</w:t>
      </w:r>
      <w:r w:rsidR="0013614E" w:rsidRPr="000852CF">
        <w:rPr>
          <w:rFonts w:asciiTheme="minorHAnsi" w:hAnsiTheme="minorHAnsi" w:cstheme="minorHAnsi"/>
          <w:b/>
          <w:sz w:val="22"/>
          <w:szCs w:val="22"/>
        </w:rPr>
        <w:t xml:space="preserve">.1 The head teacher </w:t>
      </w:r>
    </w:p>
    <w:p w14:paraId="16634E07" w14:textId="348AF492" w:rsidR="0013614E" w:rsidRPr="000852CF" w:rsidRDefault="0013614E" w:rsidP="00905849">
      <w:pPr>
        <w:jc w:val="both"/>
        <w:rPr>
          <w:rFonts w:asciiTheme="minorHAnsi" w:hAnsiTheme="minorHAnsi" w:cstheme="minorHAnsi"/>
          <w:sz w:val="22"/>
          <w:szCs w:val="22"/>
        </w:rPr>
      </w:pPr>
      <w:r w:rsidRPr="000852CF">
        <w:rPr>
          <w:rFonts w:asciiTheme="minorHAnsi" w:hAnsiTheme="minorHAnsi" w:cstheme="minorHAnsi"/>
          <w:sz w:val="22"/>
          <w:szCs w:val="22"/>
        </w:rPr>
        <w:t>The head teacher  will:</w:t>
      </w:r>
    </w:p>
    <w:p w14:paraId="7AB524ED" w14:textId="77777777" w:rsidR="0013614E" w:rsidRPr="000852CF" w:rsidRDefault="0013614E" w:rsidP="00905849">
      <w:pPr>
        <w:pStyle w:val="ListParagraph"/>
        <w:jc w:val="both"/>
        <w:rPr>
          <w:rFonts w:asciiTheme="minorHAnsi" w:hAnsiTheme="minorHAnsi" w:cstheme="minorHAnsi"/>
          <w:sz w:val="22"/>
        </w:rPr>
      </w:pPr>
      <w:r w:rsidRPr="000852CF">
        <w:rPr>
          <w:rFonts w:asciiTheme="minorHAnsi" w:hAnsiTheme="minorHAnsi" w:cstheme="minorHAnsi"/>
          <w:sz w:val="22"/>
        </w:rPr>
        <w:t xml:space="preserve">Work with staff, </w:t>
      </w:r>
      <w:proofErr w:type="gramStart"/>
      <w:r w:rsidRPr="000852CF">
        <w:rPr>
          <w:rFonts w:asciiTheme="minorHAnsi" w:hAnsiTheme="minorHAnsi" w:cstheme="minorHAnsi"/>
          <w:sz w:val="22"/>
        </w:rPr>
        <w:t>parents</w:t>
      </w:r>
      <w:proofErr w:type="gramEnd"/>
      <w:r w:rsidRPr="000852CF">
        <w:rPr>
          <w:rFonts w:asciiTheme="minorHAnsi" w:hAnsiTheme="minorHAnsi" w:cstheme="minorHAnsi"/>
          <w:sz w:val="22"/>
        </w:rPr>
        <w:t xml:space="preserve"> and governors to determine the strategic development of the xxx policy and provision in the school. </w:t>
      </w:r>
    </w:p>
    <w:p w14:paraId="125695C1" w14:textId="77777777" w:rsidR="0013614E" w:rsidRPr="000852CF" w:rsidRDefault="0013614E" w:rsidP="00905849">
      <w:pPr>
        <w:pStyle w:val="ListParagraph"/>
        <w:jc w:val="both"/>
        <w:rPr>
          <w:rFonts w:asciiTheme="minorHAnsi" w:hAnsiTheme="minorHAnsi" w:cstheme="minorHAnsi"/>
          <w:sz w:val="22"/>
        </w:rPr>
      </w:pPr>
      <w:r w:rsidRPr="000852CF">
        <w:rPr>
          <w:rFonts w:asciiTheme="minorHAnsi" w:hAnsiTheme="minorHAnsi" w:cstheme="minorHAnsi"/>
          <w:sz w:val="22"/>
        </w:rPr>
        <w:t>Have overall responsibility for the provision and progress of learners with SEND and/or a disability.</w:t>
      </w:r>
    </w:p>
    <w:p w14:paraId="342533F7" w14:textId="77777777" w:rsidR="004D6B25" w:rsidRPr="000852CF" w:rsidRDefault="004D6B25" w:rsidP="00905849">
      <w:pPr>
        <w:pStyle w:val="ListParagraph"/>
        <w:numPr>
          <w:ilvl w:val="0"/>
          <w:numId w:val="0"/>
        </w:numPr>
        <w:ind w:left="720"/>
        <w:jc w:val="both"/>
        <w:rPr>
          <w:rFonts w:asciiTheme="minorHAnsi" w:hAnsiTheme="minorHAnsi" w:cstheme="minorHAnsi"/>
          <w:sz w:val="22"/>
          <w:szCs w:val="22"/>
        </w:rPr>
      </w:pPr>
    </w:p>
    <w:p w14:paraId="12475AD5" w14:textId="77777777" w:rsidR="00E573E8" w:rsidRPr="000852CF" w:rsidRDefault="00E573E8" w:rsidP="00905849">
      <w:pPr>
        <w:spacing w:before="0"/>
        <w:jc w:val="both"/>
        <w:rPr>
          <w:rFonts w:asciiTheme="minorHAnsi" w:hAnsiTheme="minorHAnsi" w:cstheme="minorHAnsi"/>
          <w:b/>
          <w:sz w:val="22"/>
          <w:szCs w:val="22"/>
        </w:rPr>
      </w:pPr>
      <w:r w:rsidRPr="000852CF">
        <w:rPr>
          <w:rFonts w:asciiTheme="minorHAnsi" w:hAnsiTheme="minorHAnsi" w:cstheme="minorHAnsi"/>
          <w:b/>
          <w:sz w:val="22"/>
          <w:szCs w:val="22"/>
        </w:rPr>
        <w:t xml:space="preserve">4.2 The </w:t>
      </w:r>
      <w:r w:rsidR="004E7207" w:rsidRPr="000852CF">
        <w:rPr>
          <w:rFonts w:asciiTheme="minorHAnsi" w:hAnsiTheme="minorHAnsi" w:cstheme="minorHAnsi"/>
          <w:b/>
          <w:sz w:val="22"/>
          <w:szCs w:val="22"/>
        </w:rPr>
        <w:t>G</w:t>
      </w:r>
      <w:r w:rsidRPr="000852CF">
        <w:rPr>
          <w:rFonts w:asciiTheme="minorHAnsi" w:hAnsiTheme="minorHAnsi" w:cstheme="minorHAnsi"/>
          <w:b/>
          <w:sz w:val="22"/>
          <w:szCs w:val="22"/>
        </w:rPr>
        <w:t>overnor</w:t>
      </w:r>
      <w:r w:rsidR="005F27BC" w:rsidRPr="000852CF">
        <w:rPr>
          <w:rFonts w:asciiTheme="minorHAnsi" w:hAnsiTheme="minorHAnsi" w:cstheme="minorHAnsi"/>
          <w:b/>
          <w:sz w:val="22"/>
          <w:szCs w:val="22"/>
        </w:rPr>
        <w:t>/s</w:t>
      </w:r>
    </w:p>
    <w:p w14:paraId="484E87B8" w14:textId="77777777" w:rsidR="00B139FD" w:rsidRPr="000852CF" w:rsidRDefault="004D6B25" w:rsidP="00905849">
      <w:pPr>
        <w:jc w:val="both"/>
        <w:rPr>
          <w:rFonts w:asciiTheme="minorHAnsi" w:hAnsiTheme="minorHAnsi" w:cstheme="minorHAnsi"/>
          <w:sz w:val="22"/>
        </w:rPr>
      </w:pPr>
      <w:r w:rsidRPr="000852CF">
        <w:rPr>
          <w:rFonts w:asciiTheme="minorHAnsi" w:hAnsiTheme="minorHAnsi" w:cstheme="minorHAnsi"/>
          <w:sz w:val="22"/>
        </w:rPr>
        <w:t>They will:</w:t>
      </w:r>
    </w:p>
    <w:p w14:paraId="07B98819" w14:textId="245A113B" w:rsidR="00B139FD" w:rsidRPr="000852CF" w:rsidRDefault="00B139FD" w:rsidP="00905849">
      <w:pPr>
        <w:pStyle w:val="ListParagraph"/>
        <w:numPr>
          <w:ilvl w:val="0"/>
          <w:numId w:val="8"/>
        </w:numPr>
        <w:jc w:val="both"/>
        <w:rPr>
          <w:rFonts w:asciiTheme="minorHAnsi" w:hAnsiTheme="minorHAnsi" w:cstheme="minorHAnsi"/>
          <w:sz w:val="22"/>
          <w:szCs w:val="22"/>
        </w:rPr>
      </w:pPr>
      <w:r w:rsidRPr="000852CF">
        <w:rPr>
          <w:rFonts w:asciiTheme="minorHAnsi" w:hAnsiTheme="minorHAnsi" w:cstheme="minorHAnsi"/>
          <w:sz w:val="22"/>
          <w:szCs w:val="22"/>
        </w:rPr>
        <w:t xml:space="preserve">Work with the head teacher and SENDCO to determine the strategic development of the policy and provision in the school. </w:t>
      </w:r>
    </w:p>
    <w:p w14:paraId="73A6C9EC" w14:textId="77777777" w:rsidR="004E7207" w:rsidRPr="000852CF" w:rsidRDefault="004E7207" w:rsidP="00905849">
      <w:pPr>
        <w:jc w:val="both"/>
        <w:rPr>
          <w:rFonts w:asciiTheme="minorHAnsi" w:hAnsiTheme="minorHAnsi" w:cstheme="minorHAnsi"/>
          <w:sz w:val="22"/>
          <w:szCs w:val="22"/>
        </w:rPr>
      </w:pPr>
      <w:r w:rsidRPr="000852CF">
        <w:rPr>
          <w:rFonts w:asciiTheme="minorHAnsi" w:hAnsiTheme="minorHAnsi" w:cstheme="minorHAnsi"/>
          <w:sz w:val="22"/>
          <w:szCs w:val="22"/>
        </w:rPr>
        <w:t>The Governing Body will review this policy in line with the Policy review schedule at the FGB / FPP / C&amp;S committee meetings</w:t>
      </w:r>
    </w:p>
    <w:p w14:paraId="609D4E54" w14:textId="77777777" w:rsidR="009F0DF6" w:rsidRDefault="009F0DF6" w:rsidP="00905849">
      <w:pPr>
        <w:pStyle w:val="ListParagraph"/>
        <w:numPr>
          <w:ilvl w:val="0"/>
          <w:numId w:val="0"/>
        </w:numPr>
        <w:ind w:left="644"/>
        <w:jc w:val="both"/>
        <w:rPr>
          <w:rFonts w:asciiTheme="minorHAnsi" w:hAnsiTheme="minorHAnsi" w:cstheme="minorHAnsi"/>
          <w:sz w:val="22"/>
          <w:szCs w:val="22"/>
        </w:rPr>
      </w:pPr>
    </w:p>
    <w:p w14:paraId="5D52F0D9" w14:textId="77777777" w:rsidR="006A4F31" w:rsidRPr="000852CF" w:rsidRDefault="006A4F31" w:rsidP="00905849">
      <w:pPr>
        <w:pStyle w:val="ListParagraph"/>
        <w:numPr>
          <w:ilvl w:val="0"/>
          <w:numId w:val="0"/>
        </w:numPr>
        <w:ind w:left="644"/>
        <w:jc w:val="both"/>
        <w:rPr>
          <w:rFonts w:asciiTheme="minorHAnsi" w:hAnsiTheme="minorHAnsi" w:cstheme="minorHAnsi"/>
          <w:sz w:val="22"/>
          <w:szCs w:val="22"/>
        </w:rPr>
      </w:pPr>
    </w:p>
    <w:p w14:paraId="7BF09766" w14:textId="5A2C0A56" w:rsidR="00E573E8" w:rsidRDefault="00E573E8" w:rsidP="00905849">
      <w:pPr>
        <w:jc w:val="both"/>
        <w:rPr>
          <w:rFonts w:asciiTheme="minorHAnsi" w:hAnsiTheme="minorHAnsi" w:cstheme="minorHAnsi"/>
          <w:b/>
          <w:sz w:val="22"/>
          <w:szCs w:val="22"/>
        </w:rPr>
      </w:pPr>
      <w:r w:rsidRPr="000852CF">
        <w:rPr>
          <w:rFonts w:asciiTheme="minorHAnsi" w:hAnsiTheme="minorHAnsi" w:cstheme="minorHAnsi"/>
          <w:b/>
          <w:sz w:val="22"/>
          <w:szCs w:val="22"/>
        </w:rPr>
        <w:lastRenderedPageBreak/>
        <w:t>4.</w:t>
      </w:r>
      <w:r w:rsidR="0013614E" w:rsidRPr="000852CF">
        <w:rPr>
          <w:rFonts w:asciiTheme="minorHAnsi" w:hAnsiTheme="minorHAnsi" w:cstheme="minorHAnsi"/>
          <w:b/>
          <w:sz w:val="22"/>
          <w:szCs w:val="22"/>
        </w:rPr>
        <w:t>3</w:t>
      </w:r>
      <w:r w:rsidRPr="000852CF">
        <w:rPr>
          <w:rFonts w:asciiTheme="minorHAnsi" w:hAnsiTheme="minorHAnsi" w:cstheme="minorHAnsi"/>
          <w:b/>
          <w:sz w:val="22"/>
          <w:szCs w:val="22"/>
        </w:rPr>
        <w:t xml:space="preserve"> Class teachers</w:t>
      </w:r>
      <w:r w:rsidR="00551E27" w:rsidRPr="000852CF">
        <w:rPr>
          <w:rFonts w:asciiTheme="minorHAnsi" w:hAnsiTheme="minorHAnsi" w:cstheme="minorHAnsi"/>
          <w:b/>
          <w:sz w:val="22"/>
          <w:szCs w:val="22"/>
        </w:rPr>
        <w:t xml:space="preserve"> and teaching assistants</w:t>
      </w:r>
    </w:p>
    <w:p w14:paraId="7505E43C" w14:textId="554F9E29" w:rsidR="007A5322" w:rsidRDefault="007A5322" w:rsidP="00905849">
      <w:pPr>
        <w:jc w:val="both"/>
        <w:rPr>
          <w:rFonts w:asciiTheme="minorHAnsi" w:hAnsiTheme="minorHAnsi" w:cstheme="minorHAnsi"/>
          <w:bCs/>
          <w:sz w:val="22"/>
          <w:szCs w:val="22"/>
        </w:rPr>
      </w:pPr>
      <w:r>
        <w:rPr>
          <w:rFonts w:asciiTheme="minorHAnsi" w:hAnsiTheme="minorHAnsi" w:cstheme="minorHAnsi"/>
          <w:bCs/>
          <w:sz w:val="22"/>
          <w:szCs w:val="22"/>
        </w:rPr>
        <w:t>They wil</w:t>
      </w:r>
      <w:r w:rsidR="000F674A">
        <w:rPr>
          <w:rFonts w:asciiTheme="minorHAnsi" w:hAnsiTheme="minorHAnsi" w:cstheme="minorHAnsi"/>
          <w:bCs/>
          <w:sz w:val="22"/>
          <w:szCs w:val="22"/>
        </w:rPr>
        <w:t>l:</w:t>
      </w:r>
    </w:p>
    <w:p w14:paraId="679EB575" w14:textId="4F6BDDAE" w:rsidR="000F674A" w:rsidRPr="00D92AA5" w:rsidRDefault="006A4F31" w:rsidP="00D92AA5">
      <w:pPr>
        <w:pStyle w:val="ListParagraph"/>
        <w:numPr>
          <w:ilvl w:val="0"/>
          <w:numId w:val="20"/>
        </w:numPr>
        <w:jc w:val="both"/>
        <w:rPr>
          <w:rFonts w:asciiTheme="minorHAnsi" w:hAnsiTheme="minorHAnsi" w:cstheme="minorHAnsi"/>
          <w:bCs/>
          <w:sz w:val="22"/>
          <w:szCs w:val="22"/>
        </w:rPr>
      </w:pPr>
      <w:r>
        <w:rPr>
          <w:rFonts w:asciiTheme="minorHAnsi" w:hAnsiTheme="minorHAnsi" w:cstheme="minorHAnsi"/>
          <w:bCs/>
          <w:sz w:val="22"/>
          <w:szCs w:val="22"/>
        </w:rPr>
        <w:t>Work with the head teacher to implement the policy</w:t>
      </w:r>
    </w:p>
    <w:p w14:paraId="79E76242" w14:textId="790900A6" w:rsidR="008E67CD" w:rsidRPr="000852CF" w:rsidRDefault="008E67CD" w:rsidP="00905849">
      <w:pPr>
        <w:pStyle w:val="Heading1"/>
        <w:jc w:val="both"/>
        <w:rPr>
          <w:rFonts w:asciiTheme="minorHAnsi" w:hAnsiTheme="minorHAnsi" w:cstheme="minorHAnsi"/>
        </w:rPr>
      </w:pPr>
      <w:bookmarkStart w:id="4" w:name="_Toc362853009"/>
      <w:bookmarkStart w:id="5" w:name="_Toc492996807"/>
      <w:r w:rsidRPr="000852CF">
        <w:rPr>
          <w:rFonts w:asciiTheme="minorHAnsi" w:hAnsiTheme="minorHAnsi" w:cstheme="minorHAnsi"/>
        </w:rPr>
        <w:t xml:space="preserve">5. </w:t>
      </w:r>
      <w:bookmarkEnd w:id="4"/>
      <w:bookmarkEnd w:id="5"/>
      <w:r w:rsidRPr="000852CF">
        <w:rPr>
          <w:rFonts w:asciiTheme="minorHAnsi" w:hAnsiTheme="minorHAnsi" w:cstheme="minorHAnsi"/>
        </w:rPr>
        <w:t>Rationale</w:t>
      </w:r>
    </w:p>
    <w:p w14:paraId="697496DC" w14:textId="77777777" w:rsidR="008E67CD" w:rsidRPr="000852CF" w:rsidRDefault="008E67CD"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The school believes that computing: </w:t>
      </w:r>
    </w:p>
    <w:p w14:paraId="38CC5C80" w14:textId="77777777"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Gives pupils immediate access to a rich source of materials. </w:t>
      </w:r>
    </w:p>
    <w:p w14:paraId="51617564" w14:textId="7FD20EBD"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Can present information in new ways which help pupils understand access and use it more readily. </w:t>
      </w:r>
    </w:p>
    <w:p w14:paraId="22E164E2" w14:textId="77777777"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Can motivate and enthuse pupils. </w:t>
      </w:r>
    </w:p>
    <w:p w14:paraId="3BE7E6A0" w14:textId="77777777"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Can help pupils focus and concentrate. </w:t>
      </w:r>
    </w:p>
    <w:p w14:paraId="4A876EA0" w14:textId="77777777"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Offers potential for effective group working. </w:t>
      </w:r>
    </w:p>
    <w:p w14:paraId="48ABDC8C" w14:textId="77777777"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Has the flexibility to meet the individual needs and abilities of each pupil. </w:t>
      </w:r>
    </w:p>
    <w:p w14:paraId="696AC6F4" w14:textId="0A2F4DDC" w:rsidR="008E67CD" w:rsidRPr="000852CF" w:rsidRDefault="008E67CD" w:rsidP="00905849">
      <w:pPr>
        <w:pStyle w:val="NormalWeb"/>
        <w:numPr>
          <w:ilvl w:val="0"/>
          <w:numId w:val="15"/>
        </w:numPr>
        <w:jc w:val="both"/>
        <w:rPr>
          <w:rFonts w:asciiTheme="minorHAnsi" w:hAnsiTheme="minorHAnsi" w:cstheme="minorHAnsi"/>
          <w:sz w:val="22"/>
          <w:szCs w:val="22"/>
        </w:rPr>
      </w:pPr>
      <w:r w:rsidRPr="000852CF">
        <w:rPr>
          <w:rFonts w:asciiTheme="minorHAnsi" w:hAnsiTheme="minorHAnsi" w:cstheme="minorHAnsi"/>
          <w:sz w:val="22"/>
          <w:szCs w:val="22"/>
        </w:rPr>
        <w:t xml:space="preserve">Ensures that pupils become digitally literate – that they are able to use and express themselves through technology and that they are at a level suitable for the future workplace as active participants in an </w:t>
      </w:r>
      <w:proofErr w:type="gramStart"/>
      <w:r w:rsidRPr="000852CF">
        <w:rPr>
          <w:rFonts w:asciiTheme="minorHAnsi" w:hAnsiTheme="minorHAnsi" w:cstheme="minorHAnsi"/>
          <w:sz w:val="22"/>
          <w:szCs w:val="22"/>
        </w:rPr>
        <w:t>ever changing</w:t>
      </w:r>
      <w:proofErr w:type="gramEnd"/>
      <w:r w:rsidRPr="000852CF">
        <w:rPr>
          <w:rFonts w:asciiTheme="minorHAnsi" w:hAnsiTheme="minorHAnsi" w:cstheme="minorHAnsi"/>
          <w:sz w:val="22"/>
          <w:szCs w:val="22"/>
        </w:rPr>
        <w:t xml:space="preserve"> digital world. </w:t>
      </w:r>
    </w:p>
    <w:p w14:paraId="3CB178EF" w14:textId="481A40A4"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6. Objectives</w:t>
      </w:r>
    </w:p>
    <w:p w14:paraId="4397E8A4" w14:textId="77777777" w:rsidR="008E67CD" w:rsidRPr="000852CF" w:rsidRDefault="008E67CD"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Early years </w:t>
      </w:r>
    </w:p>
    <w:p w14:paraId="35C4A2E9" w14:textId="77777777" w:rsidR="008E67CD" w:rsidRPr="000852CF" w:rsidRDefault="008E67CD" w:rsidP="00905849">
      <w:pPr>
        <w:pStyle w:val="NormalWeb"/>
        <w:jc w:val="both"/>
        <w:rPr>
          <w:rFonts w:asciiTheme="minorHAnsi" w:hAnsiTheme="minorHAnsi" w:cstheme="minorHAnsi"/>
        </w:rPr>
      </w:pPr>
      <w:r w:rsidRPr="000852CF">
        <w:rPr>
          <w:rFonts w:asciiTheme="minorHAnsi" w:hAnsiTheme="minorHAnsi" w:cstheme="minorHAnsi"/>
          <w:sz w:val="22"/>
          <w:szCs w:val="22"/>
        </w:rPr>
        <w:t>It is important in the foundation stage to give children a broad, play-based experience of computing in a range of contexts, including outdoor play. Computing is not just about computers. Early years learning environments should feature scenarios based on experience in the real world, such as in role play. Children gain confidence, control and language skills through opportunities to explore using non-</w:t>
      </w:r>
      <w:proofErr w:type="gramStart"/>
      <w:r w:rsidRPr="000852CF">
        <w:rPr>
          <w:rFonts w:asciiTheme="minorHAnsi" w:hAnsiTheme="minorHAnsi" w:cstheme="minorHAnsi"/>
          <w:sz w:val="22"/>
          <w:szCs w:val="22"/>
        </w:rPr>
        <w:t>computer based</w:t>
      </w:r>
      <w:proofErr w:type="gramEnd"/>
      <w:r w:rsidRPr="000852CF">
        <w:rPr>
          <w:rFonts w:asciiTheme="minorHAnsi" w:hAnsiTheme="minorHAnsi" w:cstheme="minorHAnsi"/>
          <w:sz w:val="22"/>
          <w:szCs w:val="22"/>
        </w:rPr>
        <w:t xml:space="preserve"> resources such as metal detectors, controllable traffic lights and walkie-talkie sets. Recording devices can support children to develop their communication skills. This is </w:t>
      </w:r>
      <w:proofErr w:type="gramStart"/>
      <w:r w:rsidRPr="000852CF">
        <w:rPr>
          <w:rFonts w:asciiTheme="minorHAnsi" w:hAnsiTheme="minorHAnsi" w:cstheme="minorHAnsi"/>
          <w:sz w:val="22"/>
          <w:szCs w:val="22"/>
        </w:rPr>
        <w:t>particular useful</w:t>
      </w:r>
      <w:proofErr w:type="gramEnd"/>
      <w:r w:rsidRPr="000852CF">
        <w:rPr>
          <w:rFonts w:asciiTheme="minorHAnsi" w:hAnsiTheme="minorHAnsi" w:cstheme="minorHAnsi"/>
          <w:sz w:val="22"/>
          <w:szCs w:val="22"/>
        </w:rPr>
        <w:t xml:space="preserve"> with children who have English as an additional language. </w:t>
      </w:r>
    </w:p>
    <w:p w14:paraId="53AA9B7C" w14:textId="77777777" w:rsidR="008E67CD" w:rsidRPr="000852CF" w:rsidRDefault="008E67CD" w:rsidP="00905849">
      <w:pPr>
        <w:pStyle w:val="NormalWeb"/>
        <w:jc w:val="both"/>
        <w:rPr>
          <w:rFonts w:asciiTheme="minorHAnsi" w:hAnsiTheme="minorHAnsi" w:cstheme="minorHAnsi"/>
        </w:rPr>
      </w:pPr>
      <w:r w:rsidRPr="000852CF">
        <w:rPr>
          <w:rFonts w:asciiTheme="minorHAnsi" w:hAnsiTheme="minorHAnsi" w:cstheme="minorHAnsi"/>
          <w:sz w:val="22"/>
          <w:szCs w:val="22"/>
        </w:rPr>
        <w:t xml:space="preserve">By the end of key stage 1 pupils should be taught to: </w:t>
      </w:r>
    </w:p>
    <w:p w14:paraId="531BD1E4" w14:textId="77777777" w:rsidR="008E67CD" w:rsidRPr="000852CF" w:rsidRDefault="008E67CD" w:rsidP="00905849">
      <w:pPr>
        <w:pStyle w:val="NormalWeb"/>
        <w:numPr>
          <w:ilvl w:val="0"/>
          <w:numId w:val="16"/>
        </w:numPr>
        <w:jc w:val="both"/>
        <w:rPr>
          <w:rFonts w:asciiTheme="minorHAnsi" w:hAnsiTheme="minorHAnsi" w:cstheme="minorHAnsi"/>
          <w:sz w:val="22"/>
          <w:szCs w:val="22"/>
        </w:rPr>
      </w:pPr>
      <w:r w:rsidRPr="000852CF">
        <w:rPr>
          <w:rFonts w:asciiTheme="minorHAnsi" w:hAnsiTheme="minorHAnsi" w:cstheme="minorHAnsi"/>
          <w:sz w:val="22"/>
          <w:szCs w:val="22"/>
        </w:rPr>
        <w:t xml:space="preserve">Understand what algorithms are, how they are implemented as programs on digital devices, and that programs execute by following precise and unambiguous instructions </w:t>
      </w:r>
    </w:p>
    <w:p w14:paraId="6D4FFC9B" w14:textId="77777777" w:rsidR="008E67CD" w:rsidRPr="000852CF" w:rsidRDefault="008E67CD" w:rsidP="00905849">
      <w:pPr>
        <w:pStyle w:val="NormalWeb"/>
        <w:numPr>
          <w:ilvl w:val="0"/>
          <w:numId w:val="16"/>
        </w:numPr>
        <w:jc w:val="both"/>
        <w:rPr>
          <w:rFonts w:asciiTheme="minorHAnsi" w:hAnsiTheme="minorHAnsi" w:cstheme="minorHAnsi"/>
          <w:sz w:val="22"/>
          <w:szCs w:val="22"/>
        </w:rPr>
      </w:pPr>
      <w:r w:rsidRPr="000852CF">
        <w:rPr>
          <w:rFonts w:asciiTheme="minorHAnsi" w:hAnsiTheme="minorHAnsi" w:cstheme="minorHAnsi"/>
          <w:sz w:val="22"/>
          <w:szCs w:val="22"/>
        </w:rPr>
        <w:t xml:space="preserve">Create and debug simple programs </w:t>
      </w:r>
    </w:p>
    <w:p w14:paraId="309AABEA" w14:textId="77777777" w:rsidR="008E67CD" w:rsidRPr="000852CF" w:rsidRDefault="008E67CD" w:rsidP="00905849">
      <w:pPr>
        <w:pStyle w:val="NormalWeb"/>
        <w:numPr>
          <w:ilvl w:val="0"/>
          <w:numId w:val="16"/>
        </w:numPr>
        <w:jc w:val="both"/>
        <w:rPr>
          <w:rFonts w:asciiTheme="minorHAnsi" w:hAnsiTheme="minorHAnsi" w:cstheme="minorHAnsi"/>
          <w:sz w:val="22"/>
          <w:szCs w:val="22"/>
        </w:rPr>
      </w:pPr>
      <w:r w:rsidRPr="000852CF">
        <w:rPr>
          <w:rFonts w:asciiTheme="minorHAnsi" w:hAnsiTheme="minorHAnsi" w:cstheme="minorHAnsi"/>
          <w:sz w:val="22"/>
          <w:szCs w:val="22"/>
        </w:rPr>
        <w:t xml:space="preserve">Use logical reasoning to predict the behaviour of simple programs </w:t>
      </w:r>
    </w:p>
    <w:p w14:paraId="38C1EF2C" w14:textId="77777777" w:rsidR="008E67CD" w:rsidRPr="000852CF" w:rsidRDefault="008E67CD" w:rsidP="00905849">
      <w:pPr>
        <w:pStyle w:val="NormalWeb"/>
        <w:numPr>
          <w:ilvl w:val="0"/>
          <w:numId w:val="16"/>
        </w:numPr>
        <w:jc w:val="both"/>
        <w:rPr>
          <w:rFonts w:asciiTheme="minorHAnsi" w:hAnsiTheme="minorHAnsi" w:cstheme="minorHAnsi"/>
          <w:sz w:val="22"/>
          <w:szCs w:val="22"/>
        </w:rPr>
      </w:pPr>
      <w:r w:rsidRPr="000852CF">
        <w:rPr>
          <w:rFonts w:asciiTheme="minorHAnsi" w:hAnsiTheme="minorHAnsi" w:cstheme="minorHAnsi"/>
          <w:sz w:val="22"/>
          <w:szCs w:val="22"/>
        </w:rPr>
        <w:t xml:space="preserve">Use technology to create, organise, store, manipulate and retrieve digital content </w:t>
      </w:r>
    </w:p>
    <w:p w14:paraId="0301498C" w14:textId="77777777" w:rsidR="008E67CD" w:rsidRPr="000852CF" w:rsidRDefault="008E67CD" w:rsidP="00905849">
      <w:pPr>
        <w:pStyle w:val="NormalWeb"/>
        <w:numPr>
          <w:ilvl w:val="0"/>
          <w:numId w:val="16"/>
        </w:numPr>
        <w:jc w:val="both"/>
        <w:rPr>
          <w:rFonts w:asciiTheme="minorHAnsi" w:hAnsiTheme="minorHAnsi" w:cstheme="minorHAnsi"/>
          <w:sz w:val="22"/>
          <w:szCs w:val="22"/>
        </w:rPr>
      </w:pPr>
      <w:r w:rsidRPr="000852CF">
        <w:rPr>
          <w:rFonts w:asciiTheme="minorHAnsi" w:hAnsiTheme="minorHAnsi" w:cstheme="minorHAnsi"/>
          <w:sz w:val="22"/>
          <w:szCs w:val="22"/>
        </w:rPr>
        <w:t xml:space="preserve">Recognise common uses of information technology beyond the school </w:t>
      </w:r>
    </w:p>
    <w:p w14:paraId="636F3C2D" w14:textId="77777777" w:rsidR="008E67CD" w:rsidRPr="000852CF" w:rsidRDefault="008E67CD" w:rsidP="00905849">
      <w:pPr>
        <w:pStyle w:val="NormalWeb"/>
        <w:numPr>
          <w:ilvl w:val="0"/>
          <w:numId w:val="16"/>
        </w:numPr>
        <w:jc w:val="both"/>
        <w:rPr>
          <w:rFonts w:asciiTheme="minorHAnsi" w:hAnsiTheme="minorHAnsi" w:cstheme="minorHAnsi"/>
          <w:sz w:val="22"/>
          <w:szCs w:val="22"/>
        </w:rPr>
      </w:pPr>
      <w:r w:rsidRPr="000852CF">
        <w:rPr>
          <w:rFonts w:asciiTheme="minorHAnsi" w:hAnsiTheme="minorHAnsi" w:cstheme="minorHAnsi"/>
          <w:sz w:val="22"/>
          <w:szCs w:val="22"/>
        </w:rPr>
        <w:t xml:space="preserve">Use technology safely and respectfully online, keeping personal information private, identify where to go for help and support when they have concerns about content or contact the Internet or other online technologies </w:t>
      </w:r>
    </w:p>
    <w:p w14:paraId="3D646CA8" w14:textId="77777777" w:rsidR="008E67CD" w:rsidRPr="000852CF" w:rsidRDefault="008E67CD" w:rsidP="00905849">
      <w:pPr>
        <w:pStyle w:val="NormalWeb"/>
        <w:jc w:val="both"/>
        <w:rPr>
          <w:rFonts w:asciiTheme="minorHAnsi" w:hAnsiTheme="minorHAnsi" w:cstheme="minorHAnsi"/>
          <w:sz w:val="22"/>
          <w:szCs w:val="22"/>
        </w:rPr>
      </w:pPr>
      <w:r w:rsidRPr="000852CF">
        <w:rPr>
          <w:rFonts w:asciiTheme="minorHAnsi" w:hAnsiTheme="minorHAnsi" w:cstheme="minorHAnsi"/>
          <w:sz w:val="22"/>
          <w:szCs w:val="22"/>
        </w:rPr>
        <w:t xml:space="preserve">By the end of key stage 2 pupils should be taught to: </w:t>
      </w:r>
    </w:p>
    <w:p w14:paraId="50A93F7F" w14:textId="77777777"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t xml:space="preserve">Design and write programs that accomplish specific goals, including controlling or simulating physical systems; solve problems by decomposing them into smaller parts </w:t>
      </w:r>
    </w:p>
    <w:p w14:paraId="07F5DC82" w14:textId="77777777"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lastRenderedPageBreak/>
        <w:t xml:space="preserve">Use sequence, selection, and repetition in programs; work with variables and various forms of input and output; generate appropriate inputs and predicted outputs to test programs </w:t>
      </w:r>
    </w:p>
    <w:p w14:paraId="7E1913E1" w14:textId="77777777"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t xml:space="preserve">Use logical reasoning to explain how a simple algorithm works and to detect and correct errors in algorithms and programs </w:t>
      </w:r>
    </w:p>
    <w:p w14:paraId="231CA8D5" w14:textId="77777777"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t xml:space="preserve">Understand computer networks including the internet; how they can provide multiple services, such as the world-wide web; and the opportunities they offer for communication and collaboration </w:t>
      </w:r>
    </w:p>
    <w:p w14:paraId="1D85C43B" w14:textId="77777777"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t xml:space="preserve">Use search technologies effectively, appreciate how results are selected and ranked and be discerning in evaluating digital </w:t>
      </w:r>
      <w:proofErr w:type="gramStart"/>
      <w:r w:rsidRPr="000852CF">
        <w:rPr>
          <w:rFonts w:asciiTheme="minorHAnsi" w:hAnsiTheme="minorHAnsi" w:cstheme="minorHAnsi"/>
          <w:sz w:val="22"/>
          <w:szCs w:val="22"/>
        </w:rPr>
        <w:t>content;</w:t>
      </w:r>
      <w:proofErr w:type="gramEnd"/>
      <w:r w:rsidRPr="000852CF">
        <w:rPr>
          <w:rFonts w:asciiTheme="minorHAnsi" w:hAnsiTheme="minorHAnsi" w:cstheme="minorHAnsi"/>
          <w:sz w:val="22"/>
          <w:szCs w:val="22"/>
        </w:rPr>
        <w:t xml:space="preserve"> </w:t>
      </w:r>
    </w:p>
    <w:p w14:paraId="2FC5BE89" w14:textId="77777777"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t xml:space="preserve">Select, </w:t>
      </w:r>
      <w:proofErr w:type="gramStart"/>
      <w:r w:rsidRPr="000852CF">
        <w:rPr>
          <w:rFonts w:asciiTheme="minorHAnsi" w:hAnsiTheme="minorHAnsi" w:cstheme="minorHAnsi"/>
          <w:sz w:val="22"/>
          <w:szCs w:val="22"/>
        </w:rPr>
        <w:t>use</w:t>
      </w:r>
      <w:proofErr w:type="gramEnd"/>
      <w:r w:rsidRPr="000852CF">
        <w:rPr>
          <w:rFonts w:asciiTheme="minorHAnsi" w:hAnsiTheme="minorHAnsi" w:cstheme="minorHAnsi"/>
          <w:sz w:val="22"/>
          <w:szCs w:val="22"/>
        </w:rPr>
        <w:t xml:space="preserve"> and combine a variety of software (including internet services) on a range of digital devices to accomplish given goals, including collecting, analysing, evaluating and presenting data and information. </w:t>
      </w:r>
    </w:p>
    <w:p w14:paraId="322EA3E7" w14:textId="3BD088DD" w:rsidR="008E67CD" w:rsidRPr="000852CF" w:rsidRDefault="008E67CD" w:rsidP="00905849">
      <w:pPr>
        <w:pStyle w:val="NormalWeb"/>
        <w:numPr>
          <w:ilvl w:val="0"/>
          <w:numId w:val="17"/>
        </w:numPr>
        <w:jc w:val="both"/>
        <w:rPr>
          <w:rFonts w:asciiTheme="minorHAnsi" w:hAnsiTheme="minorHAnsi" w:cstheme="minorHAnsi"/>
          <w:sz w:val="22"/>
          <w:szCs w:val="22"/>
        </w:rPr>
      </w:pPr>
      <w:r w:rsidRPr="000852CF">
        <w:rPr>
          <w:rFonts w:asciiTheme="minorHAnsi" w:hAnsiTheme="minorHAnsi" w:cstheme="minorHAnsi"/>
          <w:sz w:val="22"/>
          <w:szCs w:val="22"/>
        </w:rPr>
        <w:t xml:space="preserve">Use technology safely, </w:t>
      </w:r>
      <w:proofErr w:type="gramStart"/>
      <w:r w:rsidRPr="000852CF">
        <w:rPr>
          <w:rFonts w:asciiTheme="minorHAnsi" w:hAnsiTheme="minorHAnsi" w:cstheme="minorHAnsi"/>
          <w:sz w:val="22"/>
          <w:szCs w:val="22"/>
        </w:rPr>
        <w:t>respectfully</w:t>
      </w:r>
      <w:proofErr w:type="gramEnd"/>
      <w:r w:rsidRPr="000852CF">
        <w:rPr>
          <w:rFonts w:asciiTheme="minorHAnsi" w:hAnsiTheme="minorHAnsi" w:cstheme="minorHAnsi"/>
          <w:sz w:val="22"/>
          <w:szCs w:val="22"/>
        </w:rPr>
        <w:t xml:space="preserve"> and responsibly; recognise acceptable/unacceptable behaviour; identify a range of ways to report concerns about content and contact </w:t>
      </w:r>
    </w:p>
    <w:p w14:paraId="7F794582" w14:textId="4A1F649F"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7. Resources and access</w:t>
      </w:r>
    </w:p>
    <w:p w14:paraId="3163F58A" w14:textId="1588D2B7" w:rsidR="000852CF" w:rsidRPr="000852CF" w:rsidRDefault="000852CF"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The school acknowledges the need to continually maintain, update and develop its resources and to make progress towards a consistent, compatible system by investing in resources that will effectively deliver the strands of the national curriculum and support the use of computing across the school. Teachers are required to inform the </w:t>
      </w:r>
      <w:r w:rsidR="00AA4663">
        <w:rPr>
          <w:rFonts w:asciiTheme="minorHAnsi" w:hAnsiTheme="minorHAnsi" w:cstheme="minorHAnsi"/>
          <w:sz w:val="22"/>
          <w:szCs w:val="22"/>
        </w:rPr>
        <w:t>ICT support</w:t>
      </w:r>
      <w:r w:rsidRPr="000852CF">
        <w:rPr>
          <w:rFonts w:asciiTheme="minorHAnsi" w:hAnsiTheme="minorHAnsi" w:cstheme="minorHAnsi"/>
          <w:sz w:val="22"/>
          <w:szCs w:val="22"/>
        </w:rPr>
        <w:t xml:space="preserve"> of any faults as soon as they are notice. Resources, if not classroom based, </w:t>
      </w:r>
      <w:proofErr w:type="gramStart"/>
      <w:r w:rsidRPr="000852CF">
        <w:rPr>
          <w:rFonts w:asciiTheme="minorHAnsi" w:hAnsiTheme="minorHAnsi" w:cstheme="minorHAnsi"/>
          <w:sz w:val="22"/>
          <w:szCs w:val="22"/>
        </w:rPr>
        <w:t>are located in</w:t>
      </w:r>
      <w:proofErr w:type="gramEnd"/>
      <w:r w:rsidRPr="000852CF">
        <w:rPr>
          <w:rFonts w:asciiTheme="minorHAnsi" w:hAnsiTheme="minorHAnsi" w:cstheme="minorHAnsi"/>
          <w:sz w:val="22"/>
          <w:szCs w:val="22"/>
        </w:rPr>
        <w:t xml:space="preserve"> the comput</w:t>
      </w:r>
      <w:r w:rsidR="00A44937">
        <w:rPr>
          <w:rFonts w:asciiTheme="minorHAnsi" w:hAnsiTheme="minorHAnsi" w:cstheme="minorHAnsi"/>
          <w:sz w:val="22"/>
          <w:szCs w:val="22"/>
        </w:rPr>
        <w:t xml:space="preserve">ing resource cupboard </w:t>
      </w:r>
      <w:r w:rsidRPr="000852CF">
        <w:rPr>
          <w:rFonts w:asciiTheme="minorHAnsi" w:hAnsiTheme="minorHAnsi" w:cstheme="minorHAnsi"/>
          <w:sz w:val="22"/>
          <w:szCs w:val="22"/>
        </w:rPr>
        <w:t xml:space="preserve">or stored away by the technician. </w:t>
      </w:r>
    </w:p>
    <w:p w14:paraId="6A6C8083" w14:textId="636107E7"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8. Planning</w:t>
      </w:r>
    </w:p>
    <w:p w14:paraId="1C791ABD" w14:textId="636E7458" w:rsidR="000852CF" w:rsidRPr="000852CF" w:rsidRDefault="000852CF"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The school is using a </w:t>
      </w:r>
      <w:r w:rsidR="00A91DD4">
        <w:rPr>
          <w:rFonts w:asciiTheme="minorHAnsi" w:hAnsiTheme="minorHAnsi" w:cstheme="minorHAnsi"/>
          <w:sz w:val="22"/>
          <w:szCs w:val="22"/>
        </w:rPr>
        <w:t xml:space="preserve">Teach </w:t>
      </w:r>
      <w:r w:rsidRPr="000852CF">
        <w:rPr>
          <w:rFonts w:asciiTheme="minorHAnsi" w:hAnsiTheme="minorHAnsi" w:cstheme="minorHAnsi"/>
          <w:sz w:val="22"/>
          <w:szCs w:val="22"/>
        </w:rPr>
        <w:t xml:space="preserve">Computing Scheme of Work to deliver the Computing National Curriculum. Pupil progress towards objectives will be recorded by teachers as part of their class recording system. </w:t>
      </w:r>
    </w:p>
    <w:p w14:paraId="5F8B1E32" w14:textId="30E72E88"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9. Access and record keeping</w:t>
      </w:r>
    </w:p>
    <w:p w14:paraId="3F5F5946" w14:textId="77777777" w:rsidR="000852CF" w:rsidRPr="000852CF" w:rsidRDefault="000852CF"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Teachers regularly assess capability through observations and looking at completed work. Key objectives to be assessed are taken from the national curriculum to assess key computing skills each term. Assessing computing work is an integral part of teaching and learning and central to good practice. As assessment is part of the learning process it is essential that pupils are closely involved. Assessment can be broken down </w:t>
      </w:r>
      <w:proofErr w:type="gramStart"/>
      <w:r w:rsidRPr="000852CF">
        <w:rPr>
          <w:rFonts w:asciiTheme="minorHAnsi" w:hAnsiTheme="minorHAnsi" w:cstheme="minorHAnsi"/>
          <w:sz w:val="22"/>
          <w:szCs w:val="22"/>
        </w:rPr>
        <w:t>into;</w:t>
      </w:r>
      <w:proofErr w:type="gramEnd"/>
      <w:r w:rsidRPr="000852CF">
        <w:rPr>
          <w:rFonts w:asciiTheme="minorHAnsi" w:hAnsiTheme="minorHAnsi" w:cstheme="minorHAnsi"/>
          <w:sz w:val="22"/>
          <w:szCs w:val="22"/>
        </w:rPr>
        <w:t xml:space="preserve"> </w:t>
      </w:r>
    </w:p>
    <w:p w14:paraId="47F0BB7B" w14:textId="77777777" w:rsidR="000852CF" w:rsidRPr="000852CF" w:rsidRDefault="000852CF" w:rsidP="00905849">
      <w:pPr>
        <w:pStyle w:val="NormalWeb"/>
        <w:numPr>
          <w:ilvl w:val="0"/>
          <w:numId w:val="18"/>
        </w:numPr>
        <w:jc w:val="both"/>
        <w:rPr>
          <w:rFonts w:asciiTheme="minorHAnsi" w:hAnsiTheme="minorHAnsi" w:cstheme="minorHAnsi"/>
          <w:sz w:val="22"/>
          <w:szCs w:val="22"/>
        </w:rPr>
      </w:pPr>
      <w:r w:rsidRPr="000852CF">
        <w:rPr>
          <w:rFonts w:asciiTheme="minorHAnsi" w:hAnsiTheme="minorHAnsi" w:cstheme="minorHAnsi"/>
          <w:sz w:val="22"/>
          <w:szCs w:val="22"/>
        </w:rPr>
        <w:t xml:space="preserve">Formative assessments which are carried out during and following </w:t>
      </w:r>
      <w:proofErr w:type="gramStart"/>
      <w:r w:rsidRPr="000852CF">
        <w:rPr>
          <w:rFonts w:asciiTheme="minorHAnsi" w:hAnsiTheme="minorHAnsi" w:cstheme="minorHAnsi"/>
          <w:sz w:val="22"/>
          <w:szCs w:val="22"/>
        </w:rPr>
        <w:t>short focused</w:t>
      </w:r>
      <w:proofErr w:type="gramEnd"/>
      <w:r w:rsidRPr="000852CF">
        <w:rPr>
          <w:rFonts w:asciiTheme="minorHAnsi" w:hAnsiTheme="minorHAnsi" w:cstheme="minorHAnsi"/>
          <w:sz w:val="22"/>
          <w:szCs w:val="22"/>
        </w:rPr>
        <w:t xml:space="preserve"> tasks and activities. They provide pupils and teaching staff the opportunity to reflect on their learning in the context of the agreed success criteria. This feeds into planning for the next lesson or activity. </w:t>
      </w:r>
    </w:p>
    <w:p w14:paraId="79552A7B" w14:textId="77777777" w:rsidR="000852CF" w:rsidRPr="000852CF" w:rsidRDefault="000852CF" w:rsidP="00905849">
      <w:pPr>
        <w:pStyle w:val="NormalWeb"/>
        <w:numPr>
          <w:ilvl w:val="0"/>
          <w:numId w:val="18"/>
        </w:numPr>
        <w:jc w:val="both"/>
        <w:rPr>
          <w:rFonts w:asciiTheme="minorHAnsi" w:hAnsiTheme="minorHAnsi" w:cstheme="minorHAnsi"/>
          <w:sz w:val="22"/>
          <w:szCs w:val="22"/>
        </w:rPr>
      </w:pPr>
      <w:r w:rsidRPr="000852CF">
        <w:rPr>
          <w:rFonts w:asciiTheme="minorHAnsi" w:hAnsiTheme="minorHAnsi" w:cstheme="minorHAnsi"/>
          <w:sz w:val="22"/>
          <w:szCs w:val="22"/>
        </w:rPr>
        <w:t xml:space="preserve">Every lesson includes formative assessment opportunities for teachers to use. These opportunities are listed in the lesson plan and are included to ensure that misconceptions are recognised and addressed if they occur. They vary from teacher observation or questioning, to marked activities. These assessments are vital to ensure that teachers are adapting their teaching to suit the needs of the pupils that they are working with and encouraged to change parts of the lesson, such as how much time spent on a specific activity, in response to these assessments. The learning objective and success criteria are introduced in the slides at the </w:t>
      </w:r>
      <w:r w:rsidRPr="000852CF">
        <w:rPr>
          <w:rFonts w:asciiTheme="minorHAnsi" w:hAnsiTheme="minorHAnsi" w:cstheme="minorHAnsi"/>
          <w:sz w:val="22"/>
          <w:szCs w:val="22"/>
        </w:rPr>
        <w:lastRenderedPageBreak/>
        <w:t xml:space="preserve">beginning of every lesson. At the end of every lesson, pupils are invited to assess how well they feel they have met the learning objective using our green and red assessment cards. This gives pupils a reminder of the content that has been covered, as well as a chance to reflect. It is also a chance for teachers to see how confident the class is feeling so that they can make changes to subsequent lessons accordingly. </w:t>
      </w:r>
    </w:p>
    <w:p w14:paraId="1AD91A1D" w14:textId="26B49C11" w:rsidR="000852CF" w:rsidRPr="000852CF" w:rsidRDefault="000852CF" w:rsidP="00905849">
      <w:pPr>
        <w:pStyle w:val="NormalWeb"/>
        <w:numPr>
          <w:ilvl w:val="0"/>
          <w:numId w:val="18"/>
        </w:numPr>
        <w:jc w:val="both"/>
        <w:rPr>
          <w:rFonts w:asciiTheme="minorHAnsi" w:hAnsiTheme="minorHAnsi" w:cstheme="minorHAnsi"/>
          <w:sz w:val="22"/>
          <w:szCs w:val="22"/>
        </w:rPr>
      </w:pPr>
      <w:r w:rsidRPr="000852CF">
        <w:rPr>
          <w:rFonts w:asciiTheme="minorHAnsi" w:hAnsiTheme="minorHAnsi" w:cstheme="minorHAnsi"/>
          <w:sz w:val="22"/>
          <w:szCs w:val="22"/>
        </w:rPr>
        <w:t xml:space="preserve">Summative assessment should review pupils' capability and provide a best fit. Use of independent </w:t>
      </w:r>
      <w:proofErr w:type="gramStart"/>
      <w:r w:rsidRPr="000852CF">
        <w:rPr>
          <w:rFonts w:asciiTheme="minorHAnsi" w:hAnsiTheme="minorHAnsi" w:cstheme="minorHAnsi"/>
          <w:sz w:val="22"/>
          <w:szCs w:val="22"/>
        </w:rPr>
        <w:t>open ended</w:t>
      </w:r>
      <w:proofErr w:type="gramEnd"/>
      <w:r w:rsidRPr="000852CF">
        <w:rPr>
          <w:rFonts w:asciiTheme="minorHAnsi" w:hAnsiTheme="minorHAnsi" w:cstheme="minorHAnsi"/>
          <w:sz w:val="22"/>
          <w:szCs w:val="22"/>
        </w:rPr>
        <w:t xml:space="preserve"> tasks, provide opportunities for pupils to demonstrate capability in relation to the term’s work. There should be an opportunity for pupil review and identification of next steps. Summative assessment should be recorded for all pupils – showing whether the pupils are below, within or secure in the learning objectives. </w:t>
      </w:r>
    </w:p>
    <w:p w14:paraId="15CB7DF0" w14:textId="77777777" w:rsidR="000852CF" w:rsidRPr="000852CF" w:rsidRDefault="000852CF" w:rsidP="00905849">
      <w:pPr>
        <w:pStyle w:val="NormalWeb"/>
        <w:jc w:val="both"/>
        <w:rPr>
          <w:rFonts w:asciiTheme="minorHAnsi" w:hAnsiTheme="minorHAnsi" w:cstheme="minorHAnsi"/>
        </w:rPr>
      </w:pPr>
      <w:r w:rsidRPr="000852CF">
        <w:rPr>
          <w:rFonts w:asciiTheme="minorHAnsi" w:hAnsiTheme="minorHAnsi" w:cstheme="minorHAnsi"/>
          <w:sz w:val="22"/>
          <w:szCs w:val="22"/>
        </w:rPr>
        <w:t xml:space="preserve">We record the results in our assessment </w:t>
      </w:r>
      <w:proofErr w:type="gramStart"/>
      <w:r w:rsidRPr="000852CF">
        <w:rPr>
          <w:rFonts w:asciiTheme="minorHAnsi" w:hAnsiTheme="minorHAnsi" w:cstheme="minorHAnsi"/>
          <w:sz w:val="22"/>
          <w:szCs w:val="22"/>
        </w:rPr>
        <w:t>files</w:t>
      </w:r>
      <w:proofErr w:type="gramEnd"/>
      <w:r w:rsidRPr="000852CF">
        <w:rPr>
          <w:rFonts w:asciiTheme="minorHAnsi" w:hAnsiTheme="minorHAnsi" w:cstheme="minorHAnsi"/>
          <w:sz w:val="22"/>
          <w:szCs w:val="22"/>
        </w:rPr>
        <w:t xml:space="preserve"> and we use these to plan future work, to provide the basis for assessing the progress of the child and to pass information on to the next teacher at the end of the year. Computing work is saved on the school network. </w:t>
      </w:r>
    </w:p>
    <w:p w14:paraId="2FF0F225" w14:textId="2D72FA24" w:rsidR="000852CF" w:rsidRPr="000852CF" w:rsidRDefault="000852CF" w:rsidP="00905849">
      <w:pPr>
        <w:pStyle w:val="NormalWeb"/>
        <w:numPr>
          <w:ilvl w:val="0"/>
          <w:numId w:val="19"/>
        </w:numPr>
        <w:jc w:val="both"/>
        <w:rPr>
          <w:rFonts w:asciiTheme="minorHAnsi" w:hAnsiTheme="minorHAnsi" w:cstheme="minorHAnsi"/>
        </w:rPr>
      </w:pPr>
      <w:r w:rsidRPr="000852CF">
        <w:rPr>
          <w:rFonts w:asciiTheme="minorHAnsi" w:hAnsiTheme="minorHAnsi" w:cstheme="minorHAnsi"/>
          <w:sz w:val="22"/>
          <w:szCs w:val="22"/>
        </w:rPr>
        <w:t xml:space="preserve">Pedagogically, when we assess, we want to ensure that we are assessing a pupil’s understanding of computing concepts and skills, as opposed to their </w:t>
      </w:r>
      <w:proofErr w:type="gramStart"/>
      <w:r w:rsidRPr="000852CF">
        <w:rPr>
          <w:rFonts w:asciiTheme="minorHAnsi" w:hAnsiTheme="minorHAnsi" w:cstheme="minorHAnsi"/>
          <w:sz w:val="22"/>
          <w:szCs w:val="22"/>
        </w:rPr>
        <w:t>reading</w:t>
      </w:r>
      <w:proofErr w:type="gramEnd"/>
      <w:r w:rsidRPr="000852CF">
        <w:rPr>
          <w:rFonts w:asciiTheme="minorHAnsi" w:hAnsiTheme="minorHAnsi" w:cstheme="minorHAnsi"/>
          <w:sz w:val="22"/>
          <w:szCs w:val="22"/>
        </w:rPr>
        <w:t xml:space="preserve"> and writing skills. Therefore, we encourage observational assessment while pupils are still developing their literacy skills. We believe that this is the most reliable way to capture an accurate picture of learning. Additionally, we use proof of progress as part of our summative assessment. The pupils get to showcase what they have learnt in a practical way using devices or in a recoded written way explaining what they have learnt. </w:t>
      </w:r>
    </w:p>
    <w:p w14:paraId="7712409F" w14:textId="2EF30767"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10. Monitoring arrangements</w:t>
      </w:r>
    </w:p>
    <w:p w14:paraId="3C6FC978" w14:textId="7569555B" w:rsidR="000852CF" w:rsidRPr="000852CF" w:rsidRDefault="000852CF"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The subject leader is responsible for monitoring the standard of the children’s work and the quality of teaching. The subject leader is also responsible for supporting colleagues in the teaching of computing, for being informed about current developments in the subject, and for providing a strategic lead and direction for the subject in the school. The governors will ensure this policy is reviewed. </w:t>
      </w:r>
    </w:p>
    <w:p w14:paraId="12461983" w14:textId="64FC6F94"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11. Equal opportunities</w:t>
      </w:r>
    </w:p>
    <w:p w14:paraId="435173C8" w14:textId="2DF0DDEC" w:rsidR="000852CF" w:rsidRPr="000852CF" w:rsidRDefault="000852CF" w:rsidP="00905849">
      <w:pPr>
        <w:pStyle w:val="NormalWeb"/>
        <w:jc w:val="both"/>
        <w:rPr>
          <w:rFonts w:asciiTheme="minorHAnsi" w:hAnsiTheme="minorHAnsi" w:cstheme="minorHAnsi"/>
          <w:lang w:eastAsia="en-GB"/>
        </w:rPr>
      </w:pPr>
      <w:r w:rsidRPr="000852CF">
        <w:rPr>
          <w:rFonts w:asciiTheme="minorHAnsi" w:hAnsiTheme="minorHAnsi" w:cstheme="minorHAnsi"/>
          <w:sz w:val="22"/>
          <w:szCs w:val="22"/>
        </w:rPr>
        <w:t xml:space="preserve">We will ensure that all children are provided with the same learning opportunities whatever their social class, gender, culture, race, disability or learning difficulties. As a </w:t>
      </w:r>
      <w:proofErr w:type="gramStart"/>
      <w:r w:rsidRPr="000852CF">
        <w:rPr>
          <w:rFonts w:asciiTheme="minorHAnsi" w:hAnsiTheme="minorHAnsi" w:cstheme="minorHAnsi"/>
          <w:sz w:val="22"/>
          <w:szCs w:val="22"/>
        </w:rPr>
        <w:t>result</w:t>
      </w:r>
      <w:proofErr w:type="gramEnd"/>
      <w:r w:rsidRPr="000852CF">
        <w:rPr>
          <w:rFonts w:asciiTheme="minorHAnsi" w:hAnsiTheme="minorHAnsi" w:cstheme="minorHAnsi"/>
          <w:sz w:val="22"/>
          <w:szCs w:val="22"/>
        </w:rPr>
        <w:t xml:space="preserve"> we hope to enable all children to develop positive attitudes towards others. All pupils have equal access to computing and all staff members follow the equal opportunities policy. Resources for SEN children and gifted &amp; talented will be made available to support and challenge appropriately. </w:t>
      </w:r>
    </w:p>
    <w:p w14:paraId="5DC29239" w14:textId="5A9D2852" w:rsidR="008E67CD" w:rsidRPr="000852CF" w:rsidRDefault="008E67CD" w:rsidP="00905849">
      <w:pPr>
        <w:pStyle w:val="Heading1"/>
        <w:jc w:val="both"/>
        <w:rPr>
          <w:rFonts w:asciiTheme="minorHAnsi" w:hAnsiTheme="minorHAnsi" w:cstheme="minorHAnsi"/>
        </w:rPr>
      </w:pPr>
      <w:r w:rsidRPr="000852CF">
        <w:rPr>
          <w:rFonts w:asciiTheme="minorHAnsi" w:hAnsiTheme="minorHAnsi" w:cstheme="minorHAnsi"/>
        </w:rPr>
        <w:t>12. Links with other policies and documents</w:t>
      </w:r>
    </w:p>
    <w:p w14:paraId="23BF8356" w14:textId="77777777" w:rsidR="008E67CD" w:rsidRPr="000852CF" w:rsidRDefault="008E67CD" w:rsidP="00905849">
      <w:pPr>
        <w:jc w:val="both"/>
        <w:rPr>
          <w:rFonts w:asciiTheme="minorHAnsi" w:hAnsiTheme="minorHAnsi" w:cstheme="minorHAnsi"/>
          <w:sz w:val="22"/>
          <w:szCs w:val="22"/>
        </w:rPr>
      </w:pPr>
      <w:r w:rsidRPr="000852CF">
        <w:rPr>
          <w:rFonts w:asciiTheme="minorHAnsi" w:hAnsiTheme="minorHAnsi" w:cstheme="minorHAnsi"/>
          <w:sz w:val="22"/>
          <w:szCs w:val="22"/>
        </w:rPr>
        <w:t xml:space="preserve">This policy links to our policies on: </w:t>
      </w:r>
    </w:p>
    <w:p w14:paraId="529506B1" w14:textId="18BE0430" w:rsidR="000852CF" w:rsidRPr="000852CF" w:rsidRDefault="000852CF" w:rsidP="00905849">
      <w:pPr>
        <w:pStyle w:val="ListParagraph"/>
        <w:jc w:val="both"/>
        <w:rPr>
          <w:rFonts w:asciiTheme="minorHAnsi" w:hAnsiTheme="minorHAnsi" w:cstheme="minorHAnsi"/>
          <w:sz w:val="22"/>
          <w:szCs w:val="22"/>
        </w:rPr>
      </w:pPr>
      <w:r w:rsidRPr="000852CF">
        <w:rPr>
          <w:rFonts w:asciiTheme="minorHAnsi" w:hAnsiTheme="minorHAnsi" w:cstheme="minorHAnsi"/>
          <w:sz w:val="22"/>
          <w:szCs w:val="22"/>
        </w:rPr>
        <w:t>Health and Safety policy</w:t>
      </w:r>
    </w:p>
    <w:p w14:paraId="4CB37336" w14:textId="3FED5157" w:rsidR="000852CF" w:rsidRPr="000852CF" w:rsidRDefault="000852CF" w:rsidP="00905849">
      <w:pPr>
        <w:pStyle w:val="ListParagraph"/>
        <w:jc w:val="both"/>
        <w:rPr>
          <w:rFonts w:asciiTheme="minorHAnsi" w:hAnsiTheme="minorHAnsi" w:cstheme="minorHAnsi"/>
          <w:sz w:val="22"/>
          <w:szCs w:val="22"/>
        </w:rPr>
      </w:pPr>
      <w:r w:rsidRPr="000852CF">
        <w:rPr>
          <w:rFonts w:asciiTheme="minorHAnsi" w:hAnsiTheme="minorHAnsi" w:cstheme="minorHAnsi"/>
          <w:sz w:val="22"/>
          <w:szCs w:val="22"/>
        </w:rPr>
        <w:t>Acceptable user policy</w:t>
      </w:r>
    </w:p>
    <w:p w14:paraId="0D35A333" w14:textId="77777777" w:rsidR="008E67CD" w:rsidRPr="000852CF" w:rsidRDefault="008E67CD" w:rsidP="00905849">
      <w:pPr>
        <w:jc w:val="both"/>
        <w:rPr>
          <w:rFonts w:asciiTheme="minorHAnsi" w:hAnsiTheme="minorHAnsi" w:cstheme="minorHAnsi"/>
        </w:rPr>
      </w:pPr>
    </w:p>
    <w:p w14:paraId="4A661604" w14:textId="23BA180D" w:rsidR="000D75E0" w:rsidRPr="000852CF" w:rsidRDefault="000D75E0" w:rsidP="00905849">
      <w:pPr>
        <w:jc w:val="both"/>
        <w:rPr>
          <w:rFonts w:asciiTheme="minorHAnsi" w:hAnsiTheme="minorHAnsi" w:cstheme="minorHAnsi"/>
          <w:color w:val="0070C0"/>
          <w:sz w:val="22"/>
          <w:szCs w:val="20"/>
        </w:rPr>
      </w:pPr>
    </w:p>
    <w:p w14:paraId="49676959" w14:textId="77777777" w:rsidR="00456549" w:rsidRPr="000852CF" w:rsidRDefault="00456549" w:rsidP="008E67CD">
      <w:pPr>
        <w:pStyle w:val="Heading1"/>
        <w:rPr>
          <w:rFonts w:asciiTheme="minorHAnsi" w:hAnsiTheme="minorHAnsi" w:cstheme="minorHAnsi"/>
        </w:rPr>
      </w:pPr>
      <w:bookmarkStart w:id="6" w:name="_Toc362853010"/>
      <w:bookmarkStart w:id="7" w:name="_Toc492996808"/>
      <w:r w:rsidRPr="000852CF">
        <w:rPr>
          <w:rFonts w:asciiTheme="minorHAnsi" w:hAnsiTheme="minorHAnsi" w:cstheme="minorHAnsi"/>
        </w:rPr>
        <w:lastRenderedPageBreak/>
        <w:t xml:space="preserve">6. </w:t>
      </w:r>
      <w:r w:rsidR="00E573E8" w:rsidRPr="000852CF">
        <w:rPr>
          <w:rFonts w:asciiTheme="minorHAnsi" w:hAnsiTheme="minorHAnsi" w:cstheme="minorHAnsi"/>
        </w:rPr>
        <w:t>Monitoring arrangements</w:t>
      </w:r>
      <w:bookmarkEnd w:id="6"/>
      <w:bookmarkEnd w:id="7"/>
    </w:p>
    <w:p w14:paraId="1F4169A1" w14:textId="330BAF87" w:rsidR="00FC4D9C" w:rsidRPr="000852CF" w:rsidRDefault="003C4B71" w:rsidP="00B1154F">
      <w:pPr>
        <w:jc w:val="both"/>
        <w:rPr>
          <w:rFonts w:asciiTheme="minorHAnsi" w:hAnsiTheme="minorHAnsi" w:cstheme="minorHAnsi"/>
          <w:sz w:val="22"/>
          <w:szCs w:val="22"/>
        </w:rPr>
      </w:pPr>
      <w:r w:rsidRPr="000852CF">
        <w:rPr>
          <w:rFonts w:asciiTheme="minorHAnsi" w:hAnsiTheme="minorHAnsi" w:cstheme="minorHAnsi"/>
          <w:sz w:val="22"/>
          <w:szCs w:val="22"/>
        </w:rPr>
        <w:t xml:space="preserve">This policy and information report will be reviewed by </w:t>
      </w:r>
      <w:r w:rsidR="004E7207" w:rsidRPr="000852CF">
        <w:rPr>
          <w:rFonts w:asciiTheme="minorHAnsi" w:hAnsiTheme="minorHAnsi" w:cstheme="minorHAnsi"/>
          <w:sz w:val="22"/>
          <w:szCs w:val="22"/>
        </w:rPr>
        <w:t>xxx</w:t>
      </w:r>
      <w:r w:rsidRPr="000852CF">
        <w:rPr>
          <w:rFonts w:asciiTheme="minorHAnsi" w:hAnsiTheme="minorHAnsi" w:cstheme="minorHAnsi"/>
          <w:sz w:val="22"/>
          <w:szCs w:val="22"/>
        </w:rPr>
        <w:t xml:space="preserve"> </w:t>
      </w:r>
      <w:r w:rsidRPr="000852CF">
        <w:rPr>
          <w:rFonts w:asciiTheme="minorHAnsi" w:hAnsiTheme="minorHAnsi" w:cstheme="minorHAnsi"/>
          <w:b/>
          <w:sz w:val="22"/>
          <w:szCs w:val="22"/>
        </w:rPr>
        <w:t>every year</w:t>
      </w:r>
      <w:r w:rsidR="004E7207" w:rsidRPr="000852CF">
        <w:rPr>
          <w:rFonts w:asciiTheme="minorHAnsi" w:hAnsiTheme="minorHAnsi" w:cstheme="minorHAnsi"/>
          <w:b/>
          <w:sz w:val="22"/>
          <w:szCs w:val="22"/>
        </w:rPr>
        <w:t xml:space="preserve"> / 3 </w:t>
      </w:r>
      <w:proofErr w:type="gramStart"/>
      <w:r w:rsidR="004E7207" w:rsidRPr="000852CF">
        <w:rPr>
          <w:rFonts w:asciiTheme="minorHAnsi" w:hAnsiTheme="minorHAnsi" w:cstheme="minorHAnsi"/>
          <w:b/>
          <w:sz w:val="22"/>
          <w:szCs w:val="22"/>
        </w:rPr>
        <w:t>years</w:t>
      </w:r>
      <w:proofErr w:type="gramEnd"/>
      <w:r w:rsidRPr="000852CF">
        <w:rPr>
          <w:rFonts w:asciiTheme="minorHAnsi" w:hAnsiTheme="minorHAnsi" w:cstheme="minorHAnsi"/>
          <w:sz w:val="22"/>
          <w:szCs w:val="22"/>
        </w:rPr>
        <w:t xml:space="preserve">. It will also be updated if any changes to the information are made during the year. </w:t>
      </w:r>
    </w:p>
    <w:p w14:paraId="2B7E075A" w14:textId="77777777" w:rsidR="003C4B71" w:rsidRPr="000852CF" w:rsidRDefault="003C4B71" w:rsidP="00B1154F">
      <w:pPr>
        <w:jc w:val="both"/>
        <w:rPr>
          <w:rFonts w:asciiTheme="minorHAnsi" w:hAnsiTheme="minorHAnsi" w:cstheme="minorHAnsi"/>
          <w:sz w:val="22"/>
          <w:szCs w:val="22"/>
        </w:rPr>
      </w:pPr>
      <w:r w:rsidRPr="000852CF">
        <w:rPr>
          <w:rFonts w:asciiTheme="minorHAnsi" w:hAnsiTheme="minorHAnsi" w:cstheme="minorHAnsi"/>
          <w:sz w:val="22"/>
          <w:szCs w:val="22"/>
        </w:rPr>
        <w:t xml:space="preserve">It will be approved by the governing board. </w:t>
      </w:r>
    </w:p>
    <w:p w14:paraId="1CECD493" w14:textId="77777777" w:rsidR="00456549" w:rsidRPr="000852CF" w:rsidRDefault="00456549" w:rsidP="008E67CD">
      <w:pPr>
        <w:pStyle w:val="Heading1"/>
        <w:rPr>
          <w:rFonts w:asciiTheme="minorHAnsi" w:hAnsiTheme="minorHAnsi" w:cstheme="minorHAnsi"/>
        </w:rPr>
      </w:pPr>
      <w:bookmarkStart w:id="8" w:name="_Toc362853011"/>
      <w:bookmarkStart w:id="9" w:name="_Toc492996809"/>
      <w:r w:rsidRPr="000852CF">
        <w:rPr>
          <w:rFonts w:asciiTheme="minorHAnsi" w:hAnsiTheme="minorHAnsi" w:cstheme="minorHAnsi"/>
        </w:rPr>
        <w:t xml:space="preserve">7. </w:t>
      </w:r>
      <w:r w:rsidR="00E573E8" w:rsidRPr="000852CF">
        <w:rPr>
          <w:rFonts w:asciiTheme="minorHAnsi" w:hAnsiTheme="minorHAnsi" w:cstheme="minorHAnsi"/>
        </w:rPr>
        <w:t>Links with other policies and documents</w:t>
      </w:r>
      <w:bookmarkEnd w:id="8"/>
      <w:bookmarkEnd w:id="9"/>
    </w:p>
    <w:p w14:paraId="215B83E8" w14:textId="77777777" w:rsidR="00796C1E" w:rsidRPr="000852CF" w:rsidRDefault="00796C1E" w:rsidP="00796C1E">
      <w:pPr>
        <w:pStyle w:val="ListParagraph"/>
        <w:numPr>
          <w:ilvl w:val="0"/>
          <w:numId w:val="0"/>
        </w:numPr>
        <w:ind w:left="720" w:hanging="360"/>
        <w:jc w:val="both"/>
        <w:rPr>
          <w:rFonts w:asciiTheme="minorHAnsi" w:hAnsiTheme="minorHAnsi" w:cstheme="minorHAnsi"/>
          <w:sz w:val="22"/>
          <w:szCs w:val="22"/>
        </w:rPr>
      </w:pPr>
    </w:p>
    <w:p w14:paraId="4EE018F2" w14:textId="77777777" w:rsidR="00796C1E" w:rsidRPr="000852CF" w:rsidRDefault="00796C1E" w:rsidP="00796C1E">
      <w:pPr>
        <w:pStyle w:val="ListParagraph"/>
        <w:numPr>
          <w:ilvl w:val="0"/>
          <w:numId w:val="0"/>
        </w:numPr>
        <w:ind w:left="720" w:hanging="360"/>
        <w:jc w:val="both"/>
        <w:rPr>
          <w:rFonts w:asciiTheme="minorHAnsi" w:hAnsiTheme="minorHAnsi" w:cstheme="minorHAnsi"/>
          <w:sz w:val="22"/>
          <w:szCs w:val="22"/>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3011"/>
        <w:gridCol w:w="2843"/>
        <w:gridCol w:w="3587"/>
      </w:tblGrid>
      <w:tr w:rsidR="004E7207" w:rsidRPr="000852CF" w14:paraId="6FF81199" w14:textId="77777777" w:rsidTr="004E7207">
        <w:tc>
          <w:tcPr>
            <w:tcW w:w="3011" w:type="dxa"/>
            <w:shd w:val="clear" w:color="auto" w:fill="BFBFBF"/>
          </w:tcPr>
          <w:p w14:paraId="1B68284A" w14:textId="5ED4E732" w:rsidR="004E7207" w:rsidRPr="000852CF" w:rsidRDefault="004E7207" w:rsidP="00135A98">
            <w:pPr>
              <w:rPr>
                <w:rFonts w:asciiTheme="minorHAnsi" w:hAnsiTheme="minorHAnsi" w:cstheme="minorHAnsi"/>
                <w:b/>
              </w:rPr>
            </w:pPr>
            <w:r w:rsidRPr="000852CF">
              <w:rPr>
                <w:rFonts w:asciiTheme="minorHAnsi" w:hAnsiTheme="minorHAnsi" w:cstheme="minorHAnsi"/>
                <w:b/>
              </w:rPr>
              <w:t>Version:</w:t>
            </w:r>
          </w:p>
        </w:tc>
        <w:tc>
          <w:tcPr>
            <w:tcW w:w="2843" w:type="dxa"/>
            <w:shd w:val="clear" w:color="auto" w:fill="BFBFBF"/>
          </w:tcPr>
          <w:p w14:paraId="05DE6279" w14:textId="3A8B7190" w:rsidR="004E7207" w:rsidRPr="000852CF" w:rsidRDefault="004E7207" w:rsidP="00135A98">
            <w:pPr>
              <w:rPr>
                <w:rFonts w:asciiTheme="minorHAnsi" w:hAnsiTheme="minorHAnsi" w:cstheme="minorHAnsi"/>
              </w:rPr>
            </w:pPr>
            <w:r w:rsidRPr="000852CF">
              <w:rPr>
                <w:rFonts w:asciiTheme="minorHAnsi" w:hAnsiTheme="minorHAnsi" w:cstheme="minorHAnsi"/>
              </w:rPr>
              <w:t>[</w:t>
            </w:r>
            <w:r w:rsidR="003C0879">
              <w:rPr>
                <w:rFonts w:asciiTheme="minorHAnsi" w:hAnsiTheme="minorHAnsi" w:cstheme="minorHAnsi"/>
              </w:rPr>
              <w:t>3</w:t>
            </w:r>
            <w:r w:rsidRPr="000852CF">
              <w:rPr>
                <w:rFonts w:asciiTheme="minorHAnsi" w:hAnsiTheme="minorHAnsi" w:cstheme="minorHAnsi"/>
              </w:rPr>
              <w:t>]</w:t>
            </w:r>
          </w:p>
        </w:tc>
        <w:tc>
          <w:tcPr>
            <w:tcW w:w="3587" w:type="dxa"/>
            <w:shd w:val="clear" w:color="auto" w:fill="BFBFBF"/>
          </w:tcPr>
          <w:p w14:paraId="3F74694A" w14:textId="77777777" w:rsidR="004E7207" w:rsidRPr="000852CF" w:rsidRDefault="004E7207" w:rsidP="00135A98">
            <w:pPr>
              <w:rPr>
                <w:rFonts w:asciiTheme="minorHAnsi" w:hAnsiTheme="minorHAnsi" w:cstheme="minorHAnsi"/>
                <w:b/>
              </w:rPr>
            </w:pPr>
          </w:p>
        </w:tc>
      </w:tr>
      <w:tr w:rsidR="00796C1E" w:rsidRPr="000852CF" w14:paraId="19E2D344" w14:textId="77777777" w:rsidTr="004E7207">
        <w:tc>
          <w:tcPr>
            <w:tcW w:w="3011" w:type="dxa"/>
            <w:shd w:val="clear" w:color="auto" w:fill="BFBFBF"/>
          </w:tcPr>
          <w:p w14:paraId="0629E890" w14:textId="4738BACF" w:rsidR="00796C1E" w:rsidRPr="000852CF" w:rsidRDefault="004E7207" w:rsidP="00135A98">
            <w:pPr>
              <w:rPr>
                <w:rFonts w:asciiTheme="minorHAnsi" w:hAnsiTheme="minorHAnsi" w:cstheme="minorHAnsi"/>
                <w:b/>
              </w:rPr>
            </w:pPr>
            <w:r w:rsidRPr="000852CF">
              <w:rPr>
                <w:rFonts w:asciiTheme="minorHAnsi" w:hAnsiTheme="minorHAnsi" w:cstheme="minorHAnsi"/>
                <w:b/>
              </w:rPr>
              <w:t>Written</w:t>
            </w:r>
            <w:r w:rsidR="00796C1E" w:rsidRPr="000852CF">
              <w:rPr>
                <w:rFonts w:asciiTheme="minorHAnsi" w:hAnsiTheme="minorHAnsi" w:cstheme="minorHAnsi"/>
                <w:b/>
              </w:rPr>
              <w:t xml:space="preserve"> by:</w:t>
            </w:r>
          </w:p>
        </w:tc>
        <w:tc>
          <w:tcPr>
            <w:tcW w:w="2843" w:type="dxa"/>
            <w:shd w:val="clear" w:color="auto" w:fill="BFBFBF"/>
          </w:tcPr>
          <w:p w14:paraId="10CB9E54" w14:textId="5F338693" w:rsidR="00796C1E" w:rsidRPr="000852CF" w:rsidRDefault="00796C1E" w:rsidP="00135A98">
            <w:pPr>
              <w:rPr>
                <w:rFonts w:asciiTheme="minorHAnsi" w:hAnsiTheme="minorHAnsi" w:cstheme="minorHAnsi"/>
              </w:rPr>
            </w:pPr>
            <w:r w:rsidRPr="000852CF">
              <w:rPr>
                <w:rFonts w:asciiTheme="minorHAnsi" w:hAnsiTheme="minorHAnsi" w:cstheme="minorHAnsi"/>
              </w:rPr>
              <w:t>[</w:t>
            </w:r>
            <w:r w:rsidR="003C0879">
              <w:rPr>
                <w:rFonts w:asciiTheme="minorHAnsi" w:hAnsiTheme="minorHAnsi" w:cstheme="minorHAnsi"/>
              </w:rPr>
              <w:t>Steve Down</w:t>
            </w:r>
            <w:r w:rsidRPr="000852CF">
              <w:rPr>
                <w:rFonts w:asciiTheme="minorHAnsi" w:hAnsiTheme="minorHAnsi" w:cstheme="minorHAnsi"/>
              </w:rPr>
              <w:t>]</w:t>
            </w:r>
          </w:p>
        </w:tc>
        <w:tc>
          <w:tcPr>
            <w:tcW w:w="3587" w:type="dxa"/>
            <w:shd w:val="clear" w:color="auto" w:fill="BFBFBF"/>
          </w:tcPr>
          <w:p w14:paraId="6E85B0F7" w14:textId="0A4D239B" w:rsidR="00796C1E" w:rsidRPr="000852CF" w:rsidRDefault="00796C1E" w:rsidP="00135A98">
            <w:pPr>
              <w:rPr>
                <w:rFonts w:asciiTheme="minorHAnsi" w:hAnsiTheme="minorHAnsi" w:cstheme="minorHAnsi"/>
              </w:rPr>
            </w:pPr>
            <w:r w:rsidRPr="000852CF">
              <w:rPr>
                <w:rFonts w:asciiTheme="minorHAnsi" w:hAnsiTheme="minorHAnsi" w:cstheme="minorHAnsi"/>
                <w:b/>
              </w:rPr>
              <w:t>Date:</w:t>
            </w:r>
            <w:r w:rsidRPr="000852CF">
              <w:rPr>
                <w:rFonts w:asciiTheme="minorHAnsi" w:hAnsiTheme="minorHAnsi" w:cstheme="minorHAnsi"/>
              </w:rPr>
              <w:t xml:space="preserve">  [</w:t>
            </w:r>
            <w:r w:rsidR="00FB7ED0">
              <w:rPr>
                <w:rFonts w:asciiTheme="minorHAnsi" w:hAnsiTheme="minorHAnsi" w:cstheme="minorHAnsi"/>
              </w:rPr>
              <w:t>2</w:t>
            </w:r>
            <w:r w:rsidR="00FB7ED0" w:rsidRPr="00FB7ED0">
              <w:rPr>
                <w:rFonts w:asciiTheme="minorHAnsi" w:hAnsiTheme="minorHAnsi" w:cstheme="minorHAnsi"/>
                <w:vertAlign w:val="superscript"/>
              </w:rPr>
              <w:t>nd</w:t>
            </w:r>
            <w:r w:rsidR="00FB7ED0">
              <w:rPr>
                <w:rFonts w:asciiTheme="minorHAnsi" w:hAnsiTheme="minorHAnsi" w:cstheme="minorHAnsi"/>
              </w:rPr>
              <w:t xml:space="preserve"> November</w:t>
            </w:r>
            <w:r w:rsidR="003C0879">
              <w:rPr>
                <w:rFonts w:asciiTheme="minorHAnsi" w:hAnsiTheme="minorHAnsi" w:cstheme="minorHAnsi"/>
              </w:rPr>
              <w:t xml:space="preserve"> </w:t>
            </w:r>
            <w:r w:rsidR="00FB7ED0">
              <w:rPr>
                <w:rFonts w:asciiTheme="minorHAnsi" w:hAnsiTheme="minorHAnsi" w:cstheme="minorHAnsi"/>
              </w:rPr>
              <w:t>20</w:t>
            </w:r>
            <w:r w:rsidR="003C0879">
              <w:rPr>
                <w:rFonts w:asciiTheme="minorHAnsi" w:hAnsiTheme="minorHAnsi" w:cstheme="minorHAnsi"/>
              </w:rPr>
              <w:t>22</w:t>
            </w:r>
            <w:r w:rsidRPr="000852CF">
              <w:rPr>
                <w:rFonts w:asciiTheme="minorHAnsi" w:hAnsiTheme="minorHAnsi" w:cstheme="minorHAnsi"/>
              </w:rPr>
              <w:t>]</w:t>
            </w:r>
          </w:p>
        </w:tc>
      </w:tr>
      <w:tr w:rsidR="004E7207" w:rsidRPr="000852CF" w14:paraId="068CE659" w14:textId="77777777" w:rsidTr="004E7207">
        <w:tc>
          <w:tcPr>
            <w:tcW w:w="3011" w:type="dxa"/>
            <w:shd w:val="clear" w:color="auto" w:fill="BFBFBF"/>
          </w:tcPr>
          <w:p w14:paraId="48767988" w14:textId="6454D448" w:rsidR="004E7207" w:rsidRPr="000852CF" w:rsidRDefault="004E7207">
            <w:pPr>
              <w:rPr>
                <w:rFonts w:asciiTheme="minorHAnsi" w:hAnsiTheme="minorHAnsi" w:cstheme="minorHAnsi"/>
                <w:b/>
              </w:rPr>
            </w:pPr>
            <w:r w:rsidRPr="000852CF">
              <w:rPr>
                <w:rFonts w:asciiTheme="minorHAnsi" w:hAnsiTheme="minorHAnsi" w:cstheme="minorHAnsi"/>
                <w:b/>
              </w:rPr>
              <w:t>Last reviewed by staff:</w:t>
            </w:r>
          </w:p>
        </w:tc>
        <w:tc>
          <w:tcPr>
            <w:tcW w:w="6430" w:type="dxa"/>
            <w:gridSpan w:val="2"/>
            <w:shd w:val="clear" w:color="auto" w:fill="BFBFBF"/>
          </w:tcPr>
          <w:p w14:paraId="042124C9" w14:textId="12402951" w:rsidR="004E7207" w:rsidRPr="000852CF" w:rsidRDefault="004E7207">
            <w:pPr>
              <w:rPr>
                <w:rFonts w:asciiTheme="minorHAnsi" w:hAnsiTheme="minorHAnsi" w:cstheme="minorHAnsi"/>
              </w:rPr>
            </w:pPr>
            <w:r w:rsidRPr="000852CF">
              <w:rPr>
                <w:rFonts w:asciiTheme="minorHAnsi" w:hAnsiTheme="minorHAnsi" w:cstheme="minorHAnsi"/>
              </w:rPr>
              <w:t>[</w:t>
            </w:r>
            <w:r w:rsidR="003C0879">
              <w:rPr>
                <w:rFonts w:asciiTheme="minorHAnsi" w:hAnsiTheme="minorHAnsi" w:cstheme="minorHAnsi"/>
              </w:rPr>
              <w:t>November</w:t>
            </w:r>
            <w:r w:rsidRPr="000852CF">
              <w:rPr>
                <w:rFonts w:asciiTheme="minorHAnsi" w:hAnsiTheme="minorHAnsi" w:cstheme="minorHAnsi"/>
              </w:rPr>
              <w:t>]</w:t>
            </w:r>
          </w:p>
        </w:tc>
      </w:tr>
      <w:tr w:rsidR="00796C1E" w:rsidRPr="000852CF" w14:paraId="387988C1" w14:textId="77777777" w:rsidTr="004E7207">
        <w:tc>
          <w:tcPr>
            <w:tcW w:w="3011" w:type="dxa"/>
            <w:shd w:val="clear" w:color="auto" w:fill="BFBFBF"/>
          </w:tcPr>
          <w:p w14:paraId="2DCFA1F5" w14:textId="55987126" w:rsidR="00796C1E" w:rsidRPr="000852CF" w:rsidRDefault="00796C1E" w:rsidP="00135A98">
            <w:pPr>
              <w:rPr>
                <w:rFonts w:asciiTheme="minorHAnsi" w:hAnsiTheme="minorHAnsi" w:cstheme="minorHAnsi"/>
                <w:b/>
              </w:rPr>
            </w:pPr>
            <w:r w:rsidRPr="000852CF">
              <w:rPr>
                <w:rFonts w:asciiTheme="minorHAnsi" w:hAnsiTheme="minorHAnsi" w:cstheme="minorHAnsi"/>
                <w:b/>
              </w:rPr>
              <w:t xml:space="preserve">Last reviewed </w:t>
            </w:r>
            <w:r w:rsidR="004E7207" w:rsidRPr="000852CF">
              <w:rPr>
                <w:rFonts w:asciiTheme="minorHAnsi" w:hAnsiTheme="minorHAnsi" w:cstheme="minorHAnsi"/>
                <w:b/>
              </w:rPr>
              <w:t>by governors</w:t>
            </w:r>
            <w:r w:rsidRPr="000852CF">
              <w:rPr>
                <w:rFonts w:asciiTheme="minorHAnsi" w:hAnsiTheme="minorHAnsi" w:cstheme="minorHAnsi"/>
                <w:b/>
              </w:rPr>
              <w:t>:</w:t>
            </w:r>
          </w:p>
        </w:tc>
        <w:tc>
          <w:tcPr>
            <w:tcW w:w="6430" w:type="dxa"/>
            <w:gridSpan w:val="2"/>
            <w:shd w:val="clear" w:color="auto" w:fill="BFBFBF"/>
          </w:tcPr>
          <w:p w14:paraId="11850E12" w14:textId="2629C185" w:rsidR="00796C1E" w:rsidRPr="000852CF" w:rsidRDefault="00796C1E" w:rsidP="00135A98">
            <w:pPr>
              <w:rPr>
                <w:rFonts w:asciiTheme="minorHAnsi" w:hAnsiTheme="minorHAnsi" w:cstheme="minorHAnsi"/>
              </w:rPr>
            </w:pPr>
            <w:r w:rsidRPr="000852CF">
              <w:rPr>
                <w:rFonts w:asciiTheme="minorHAnsi" w:hAnsiTheme="minorHAnsi" w:cstheme="minorHAnsi"/>
              </w:rPr>
              <w:t>[</w:t>
            </w:r>
            <w:r w:rsidR="003C0879">
              <w:rPr>
                <w:rFonts w:asciiTheme="minorHAnsi" w:hAnsiTheme="minorHAnsi" w:cstheme="minorHAnsi"/>
              </w:rPr>
              <w:t>Novembe</w:t>
            </w:r>
            <w:r w:rsidR="002F26BC">
              <w:rPr>
                <w:rFonts w:asciiTheme="minorHAnsi" w:hAnsiTheme="minorHAnsi" w:cstheme="minorHAnsi"/>
              </w:rPr>
              <w:t>r</w:t>
            </w:r>
            <w:r w:rsidRPr="000852CF">
              <w:rPr>
                <w:rFonts w:asciiTheme="minorHAnsi" w:hAnsiTheme="minorHAnsi" w:cstheme="minorHAnsi"/>
              </w:rPr>
              <w:t>]</w:t>
            </w:r>
          </w:p>
        </w:tc>
      </w:tr>
      <w:tr w:rsidR="00796C1E" w:rsidRPr="000852CF" w14:paraId="71690A25" w14:textId="77777777" w:rsidTr="004E7207">
        <w:tc>
          <w:tcPr>
            <w:tcW w:w="3011" w:type="dxa"/>
            <w:shd w:val="clear" w:color="auto" w:fill="BFBFBF"/>
          </w:tcPr>
          <w:p w14:paraId="29802124" w14:textId="77777777" w:rsidR="00796C1E" w:rsidRPr="000852CF" w:rsidRDefault="00796C1E" w:rsidP="00135A98">
            <w:pPr>
              <w:rPr>
                <w:rFonts w:asciiTheme="minorHAnsi" w:hAnsiTheme="minorHAnsi" w:cstheme="minorHAnsi"/>
                <w:b/>
              </w:rPr>
            </w:pPr>
            <w:r w:rsidRPr="000852CF">
              <w:rPr>
                <w:rFonts w:asciiTheme="minorHAnsi" w:hAnsiTheme="minorHAnsi" w:cstheme="minorHAnsi"/>
                <w:b/>
              </w:rPr>
              <w:t>Next review due by:</w:t>
            </w:r>
          </w:p>
        </w:tc>
        <w:tc>
          <w:tcPr>
            <w:tcW w:w="6430" w:type="dxa"/>
            <w:gridSpan w:val="2"/>
            <w:shd w:val="clear" w:color="auto" w:fill="BFBFBF"/>
          </w:tcPr>
          <w:p w14:paraId="3384316E" w14:textId="69E0FCB1" w:rsidR="00796C1E" w:rsidRPr="000852CF" w:rsidRDefault="00796C1E" w:rsidP="00135A98">
            <w:pPr>
              <w:rPr>
                <w:rFonts w:asciiTheme="minorHAnsi" w:hAnsiTheme="minorHAnsi" w:cstheme="minorHAnsi"/>
              </w:rPr>
            </w:pPr>
            <w:r w:rsidRPr="000852CF">
              <w:rPr>
                <w:rFonts w:asciiTheme="minorHAnsi" w:hAnsiTheme="minorHAnsi" w:cstheme="minorHAnsi"/>
              </w:rPr>
              <w:t>[</w:t>
            </w:r>
            <w:r w:rsidR="002F26BC">
              <w:rPr>
                <w:rFonts w:asciiTheme="minorHAnsi" w:hAnsiTheme="minorHAnsi" w:cstheme="minorHAnsi"/>
              </w:rPr>
              <w:t xml:space="preserve">November </w:t>
            </w:r>
            <w:r w:rsidR="00FB7ED0">
              <w:rPr>
                <w:rFonts w:asciiTheme="minorHAnsi" w:hAnsiTheme="minorHAnsi" w:cstheme="minorHAnsi"/>
              </w:rPr>
              <w:t>2025</w:t>
            </w:r>
            <w:r w:rsidRPr="000852CF">
              <w:rPr>
                <w:rFonts w:asciiTheme="minorHAnsi" w:hAnsiTheme="minorHAnsi" w:cstheme="minorHAnsi"/>
              </w:rPr>
              <w:t>]</w:t>
            </w:r>
          </w:p>
        </w:tc>
      </w:tr>
    </w:tbl>
    <w:p w14:paraId="65B72EB1" w14:textId="77777777" w:rsidR="003C4B71" w:rsidRPr="0013614E" w:rsidRDefault="003C4B71" w:rsidP="003C4B71">
      <w:pPr>
        <w:rPr>
          <w:rFonts w:asciiTheme="minorHAnsi" w:hAnsiTheme="minorHAnsi" w:cstheme="minorHAnsi"/>
        </w:rPr>
      </w:pPr>
    </w:p>
    <w:sectPr w:rsidR="003C4B71" w:rsidRPr="0013614E" w:rsidSect="00192EE4">
      <w:footerReference w:type="first" r:id="rId15"/>
      <w:pgSz w:w="11900" w:h="16840"/>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D5E6" w14:textId="77777777" w:rsidR="00C61E6E" w:rsidRDefault="00C61E6E" w:rsidP="00FE4EBF">
      <w:pPr>
        <w:spacing w:before="0" w:after="0"/>
      </w:pPr>
      <w:r>
        <w:separator/>
      </w:r>
    </w:p>
  </w:endnote>
  <w:endnote w:type="continuationSeparator" w:id="0">
    <w:p w14:paraId="110BE1BB" w14:textId="77777777" w:rsidR="00C61E6E" w:rsidRDefault="00C61E6E"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ED7E" w14:textId="77777777" w:rsidR="00965F33" w:rsidRDefault="00965F33"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6F907" w14:textId="77777777" w:rsidR="00965F33" w:rsidRDefault="00965F33"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4BE1" w14:textId="11B2DB12" w:rsidR="00965F33" w:rsidRDefault="00965F33"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EE4">
      <w:rPr>
        <w:rStyle w:val="PageNumber"/>
        <w:noProof/>
      </w:rPr>
      <w:t>2</w:t>
    </w:r>
    <w:r>
      <w:rPr>
        <w:rStyle w:val="PageNumber"/>
      </w:rPr>
      <w:fldChar w:fldCharType="end"/>
    </w:r>
  </w:p>
  <w:p w14:paraId="7467B719" w14:textId="77777777" w:rsidR="00965F33" w:rsidRDefault="002862AD" w:rsidP="00FE4EBF">
    <w:pPr>
      <w:pStyle w:val="Footer"/>
      <w:ind w:right="360"/>
    </w:pPr>
    <w:r>
      <w:rPr>
        <w:noProof/>
        <w:lang w:eastAsia="en-GB"/>
      </w:rPr>
      <w:drawing>
        <wp:anchor distT="0" distB="0" distL="114300" distR="114300" simplePos="0" relativeHeight="251657728" behindDoc="1" locked="0" layoutInCell="1" allowOverlap="1" wp14:anchorId="2FCF294B" wp14:editId="15741806">
          <wp:simplePos x="0" y="0"/>
          <wp:positionH relativeFrom="column">
            <wp:posOffset>-491490</wp:posOffset>
          </wp:positionH>
          <wp:positionV relativeFrom="paragraph">
            <wp:posOffset>-268605</wp:posOffset>
          </wp:positionV>
          <wp:extent cx="964565" cy="577850"/>
          <wp:effectExtent l="0" t="0" r="0" b="0"/>
          <wp:wrapNone/>
          <wp:docPr id="3" name="Picture 1" descr="C:\Users\eperry\Desktop\5af18b9ec7ac891278cc216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perry\Desktop\5af18b9ec7ac891278cc216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577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5386" w14:textId="77777777" w:rsidR="000A64A6" w:rsidRDefault="000A64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7977"/>
      <w:docPartObj>
        <w:docPartGallery w:val="Page Numbers (Bottom of Page)"/>
        <w:docPartUnique/>
      </w:docPartObj>
    </w:sdtPr>
    <w:sdtEndPr>
      <w:rPr>
        <w:noProof/>
      </w:rPr>
    </w:sdtEndPr>
    <w:sdtContent>
      <w:p w14:paraId="068B39EE" w14:textId="351F6B86" w:rsidR="00192EE4" w:rsidRDefault="00192EE4">
        <w:pPr>
          <w:pStyle w:val="Footer"/>
          <w:jc w:val="right"/>
        </w:pPr>
        <w:r w:rsidRPr="00192EE4">
          <w:rPr>
            <w:noProof/>
            <w:lang w:eastAsia="en-GB"/>
          </w:rPr>
          <w:drawing>
            <wp:anchor distT="0" distB="0" distL="114300" distR="114300" simplePos="0" relativeHeight="251658752" behindDoc="1" locked="0" layoutInCell="1" allowOverlap="1" wp14:anchorId="76478351" wp14:editId="3FBE41C3">
              <wp:simplePos x="0" y="0"/>
              <wp:positionH relativeFrom="column">
                <wp:posOffset>-466725</wp:posOffset>
              </wp:positionH>
              <wp:positionV relativeFrom="paragraph">
                <wp:posOffset>-278130</wp:posOffset>
              </wp:positionV>
              <wp:extent cx="942975" cy="561975"/>
              <wp:effectExtent l="0" t="0" r="9525" b="9525"/>
              <wp:wrapTight wrapText="bothSides">
                <wp:wrapPolygon edited="0">
                  <wp:start x="0" y="0"/>
                  <wp:lineTo x="0" y="21234"/>
                  <wp:lineTo x="21382" y="21234"/>
                  <wp:lineTo x="21382" y="0"/>
                  <wp:lineTo x="0" y="0"/>
                </wp:wrapPolygon>
              </wp:wrapTight>
              <wp:docPr id="2" name="Picture 2" descr="C:\Users\eperry\Desktop\5af18b9ec7ac891278cc21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rry\Desktop\5af18b9ec7ac891278cc216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6197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rPr>
            <w:noProof/>
          </w:rPr>
          <w:fldChar w:fldCharType="end"/>
        </w:r>
      </w:p>
    </w:sdtContent>
  </w:sdt>
  <w:p w14:paraId="43F37CB1" w14:textId="00382FB7" w:rsidR="00192EE4" w:rsidRDefault="0019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8B7A" w14:textId="77777777" w:rsidR="00C61E6E" w:rsidRDefault="00C61E6E" w:rsidP="00FE4EBF">
      <w:pPr>
        <w:spacing w:before="0" w:after="0"/>
      </w:pPr>
      <w:r>
        <w:separator/>
      </w:r>
    </w:p>
  </w:footnote>
  <w:footnote w:type="continuationSeparator" w:id="0">
    <w:p w14:paraId="5962546A" w14:textId="77777777" w:rsidR="00C61E6E" w:rsidRDefault="00C61E6E"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9616" w14:textId="77777777" w:rsidR="000A64A6" w:rsidRDefault="000A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D5EF" w14:textId="77777777" w:rsidR="000A64A6" w:rsidRDefault="000A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C1A2" w14:textId="77777777" w:rsidR="000A64A6" w:rsidRDefault="000A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82A"/>
    <w:multiLevelType w:val="hybridMultilevel"/>
    <w:tmpl w:val="63AC59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C27215"/>
    <w:multiLevelType w:val="hybridMultilevel"/>
    <w:tmpl w:val="1EF28182"/>
    <w:lvl w:ilvl="0" w:tplc="1320FD04">
      <w:start w:val="1"/>
      <w:numFmt w:val="bullet"/>
      <w:lvlText w:val=""/>
      <w:lvlJc w:val="left"/>
      <w:pPr>
        <w:ind w:left="644" w:hanging="360"/>
      </w:pPr>
      <w:rPr>
        <w:rFonts w:ascii="Symbol" w:hAnsi="Symbol" w:hint="default"/>
        <w:color w:val="000000"/>
      </w:rPr>
    </w:lvl>
    <w:lvl w:ilvl="1" w:tplc="CB8401AC">
      <w:numFmt w:val="bullet"/>
      <w:lvlText w:val="•"/>
      <w:lvlJc w:val="left"/>
      <w:pPr>
        <w:ind w:left="1800" w:hanging="720"/>
      </w:pPr>
      <w:rPr>
        <w:rFonts w:ascii="Century Gothic" w:eastAsia="MS Mincho"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7014B"/>
    <w:multiLevelType w:val="multilevel"/>
    <w:tmpl w:val="71DC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704EA"/>
    <w:multiLevelType w:val="hybridMultilevel"/>
    <w:tmpl w:val="4CC6C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F7DD6"/>
    <w:multiLevelType w:val="hybridMultilevel"/>
    <w:tmpl w:val="FC96C250"/>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44AA5"/>
    <w:multiLevelType w:val="multilevel"/>
    <w:tmpl w:val="6422CB7A"/>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A3629"/>
    <w:multiLevelType w:val="multilevel"/>
    <w:tmpl w:val="1CF4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9523D"/>
    <w:multiLevelType w:val="hybridMultilevel"/>
    <w:tmpl w:val="8118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0751B"/>
    <w:multiLevelType w:val="hybridMultilevel"/>
    <w:tmpl w:val="CD1AEF3C"/>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23AF2"/>
    <w:multiLevelType w:val="hybridMultilevel"/>
    <w:tmpl w:val="1FF8E63A"/>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01F4E"/>
    <w:multiLevelType w:val="hybridMultilevel"/>
    <w:tmpl w:val="3D5A0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CB346A"/>
    <w:multiLevelType w:val="hybridMultilevel"/>
    <w:tmpl w:val="060A249C"/>
    <w:lvl w:ilvl="0" w:tplc="1320FD04">
      <w:start w:val="1"/>
      <w:numFmt w:val="bullet"/>
      <w:lvlText w:val=""/>
      <w:lvlJc w:val="left"/>
      <w:pPr>
        <w:ind w:left="644"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901AD"/>
    <w:multiLevelType w:val="hybridMultilevel"/>
    <w:tmpl w:val="D36C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B">
      <w:start w:val="1"/>
      <w:numFmt w:val="bullet"/>
      <w:lvlText w:val=""/>
      <w:lvlJc w:val="left"/>
      <w:pPr>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57A87"/>
    <w:multiLevelType w:val="hybridMultilevel"/>
    <w:tmpl w:val="9F32DC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E18AC"/>
    <w:multiLevelType w:val="multilevel"/>
    <w:tmpl w:val="6422CB7A"/>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717DD"/>
    <w:multiLevelType w:val="multilevel"/>
    <w:tmpl w:val="73F0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DB3403"/>
    <w:multiLevelType w:val="multilevel"/>
    <w:tmpl w:val="1A64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46482"/>
    <w:multiLevelType w:val="multilevel"/>
    <w:tmpl w:val="53264E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750104">
    <w:abstractNumId w:val="2"/>
  </w:num>
  <w:num w:numId="2" w16cid:durableId="352645">
    <w:abstractNumId w:val="8"/>
  </w:num>
  <w:num w:numId="3" w16cid:durableId="1885214687">
    <w:abstractNumId w:val="4"/>
  </w:num>
  <w:num w:numId="4" w16cid:durableId="974682373">
    <w:abstractNumId w:val="5"/>
  </w:num>
  <w:num w:numId="5" w16cid:durableId="203641761">
    <w:abstractNumId w:val="1"/>
  </w:num>
  <w:num w:numId="6" w16cid:durableId="2057848356">
    <w:abstractNumId w:val="13"/>
  </w:num>
  <w:num w:numId="7" w16cid:durableId="228074422">
    <w:abstractNumId w:val="10"/>
  </w:num>
  <w:num w:numId="8" w16cid:durableId="1041632083">
    <w:abstractNumId w:val="11"/>
  </w:num>
  <w:num w:numId="9" w16cid:durableId="1981885999">
    <w:abstractNumId w:val="14"/>
  </w:num>
  <w:num w:numId="10" w16cid:durableId="246841166">
    <w:abstractNumId w:val="0"/>
  </w:num>
  <w:num w:numId="11" w16cid:durableId="2030793446">
    <w:abstractNumId w:val="15"/>
  </w:num>
  <w:num w:numId="12" w16cid:durableId="760105318">
    <w:abstractNumId w:val="12"/>
  </w:num>
  <w:num w:numId="13" w16cid:durableId="202444935">
    <w:abstractNumId w:val="17"/>
  </w:num>
  <w:num w:numId="14" w16cid:durableId="277495700">
    <w:abstractNumId w:val="19"/>
  </w:num>
  <w:num w:numId="15" w16cid:durableId="611475480">
    <w:abstractNumId w:val="16"/>
  </w:num>
  <w:num w:numId="16" w16cid:durableId="305865765">
    <w:abstractNumId w:val="3"/>
  </w:num>
  <w:num w:numId="17" w16cid:durableId="1579826020">
    <w:abstractNumId w:val="7"/>
  </w:num>
  <w:num w:numId="18" w16cid:durableId="190192570">
    <w:abstractNumId w:val="18"/>
  </w:num>
  <w:num w:numId="19" w16cid:durableId="423652830">
    <w:abstractNumId w:val="6"/>
  </w:num>
  <w:num w:numId="20" w16cid:durableId="2451867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420D"/>
    <w:rsid w:val="000277F2"/>
    <w:rsid w:val="00035530"/>
    <w:rsid w:val="00072C8E"/>
    <w:rsid w:val="000826D1"/>
    <w:rsid w:val="00084992"/>
    <w:rsid w:val="000852CF"/>
    <w:rsid w:val="000877ED"/>
    <w:rsid w:val="000A4735"/>
    <w:rsid w:val="000A64A6"/>
    <w:rsid w:val="000C4320"/>
    <w:rsid w:val="000D75E0"/>
    <w:rsid w:val="000E7987"/>
    <w:rsid w:val="000F674A"/>
    <w:rsid w:val="0011435C"/>
    <w:rsid w:val="00114978"/>
    <w:rsid w:val="001303E9"/>
    <w:rsid w:val="00135A98"/>
    <w:rsid w:val="0013614E"/>
    <w:rsid w:val="00173DAE"/>
    <w:rsid w:val="00192EE4"/>
    <w:rsid w:val="001A5901"/>
    <w:rsid w:val="001B0588"/>
    <w:rsid w:val="001C1B9E"/>
    <w:rsid w:val="001E21A3"/>
    <w:rsid w:val="001E3966"/>
    <w:rsid w:val="00204182"/>
    <w:rsid w:val="0021273E"/>
    <w:rsid w:val="00214466"/>
    <w:rsid w:val="00223884"/>
    <w:rsid w:val="0022398E"/>
    <w:rsid w:val="00237AE7"/>
    <w:rsid w:val="00240982"/>
    <w:rsid w:val="0024218A"/>
    <w:rsid w:val="00275C15"/>
    <w:rsid w:val="002862AD"/>
    <w:rsid w:val="002941A9"/>
    <w:rsid w:val="00296CAB"/>
    <w:rsid w:val="002C03DF"/>
    <w:rsid w:val="002C1DB7"/>
    <w:rsid w:val="002C33DB"/>
    <w:rsid w:val="002D18CC"/>
    <w:rsid w:val="002D1DEA"/>
    <w:rsid w:val="002D4C14"/>
    <w:rsid w:val="002F26BC"/>
    <w:rsid w:val="00307E8A"/>
    <w:rsid w:val="00333292"/>
    <w:rsid w:val="00346CEC"/>
    <w:rsid w:val="0035304E"/>
    <w:rsid w:val="0037170D"/>
    <w:rsid w:val="003C0879"/>
    <w:rsid w:val="003C4B71"/>
    <w:rsid w:val="003D2DD7"/>
    <w:rsid w:val="003D5D07"/>
    <w:rsid w:val="003F0736"/>
    <w:rsid w:val="003F19E4"/>
    <w:rsid w:val="00415566"/>
    <w:rsid w:val="00424CFE"/>
    <w:rsid w:val="004345CD"/>
    <w:rsid w:val="00456549"/>
    <w:rsid w:val="004671BA"/>
    <w:rsid w:val="00482641"/>
    <w:rsid w:val="00486E8B"/>
    <w:rsid w:val="00492EFC"/>
    <w:rsid w:val="004A726D"/>
    <w:rsid w:val="004C2C79"/>
    <w:rsid w:val="004D3ED9"/>
    <w:rsid w:val="004D6B25"/>
    <w:rsid w:val="004E7207"/>
    <w:rsid w:val="004F59E0"/>
    <w:rsid w:val="0050218E"/>
    <w:rsid w:val="0050329C"/>
    <w:rsid w:val="00507A48"/>
    <w:rsid w:val="00532F73"/>
    <w:rsid w:val="005470CA"/>
    <w:rsid w:val="00551E27"/>
    <w:rsid w:val="0056634C"/>
    <w:rsid w:val="00567AFC"/>
    <w:rsid w:val="00592D87"/>
    <w:rsid w:val="005D0B69"/>
    <w:rsid w:val="005F27BC"/>
    <w:rsid w:val="005F2B90"/>
    <w:rsid w:val="005F5515"/>
    <w:rsid w:val="00603432"/>
    <w:rsid w:val="00622636"/>
    <w:rsid w:val="00625AEA"/>
    <w:rsid w:val="00645DC6"/>
    <w:rsid w:val="00655C88"/>
    <w:rsid w:val="00657B33"/>
    <w:rsid w:val="00666271"/>
    <w:rsid w:val="006A3C52"/>
    <w:rsid w:val="006A4F31"/>
    <w:rsid w:val="006B0DAB"/>
    <w:rsid w:val="006B55A9"/>
    <w:rsid w:val="006B5B75"/>
    <w:rsid w:val="006D015B"/>
    <w:rsid w:val="006D3A6F"/>
    <w:rsid w:val="00710C0A"/>
    <w:rsid w:val="00733DC2"/>
    <w:rsid w:val="00761D98"/>
    <w:rsid w:val="0076330A"/>
    <w:rsid w:val="00795C90"/>
    <w:rsid w:val="00796C1E"/>
    <w:rsid w:val="007A5322"/>
    <w:rsid w:val="007D3E65"/>
    <w:rsid w:val="00801729"/>
    <w:rsid w:val="00810677"/>
    <w:rsid w:val="0081600C"/>
    <w:rsid w:val="0082456D"/>
    <w:rsid w:val="008307C1"/>
    <w:rsid w:val="00835F08"/>
    <w:rsid w:val="00856671"/>
    <w:rsid w:val="00860DF0"/>
    <w:rsid w:val="00874A5F"/>
    <w:rsid w:val="00891BCD"/>
    <w:rsid w:val="008965A6"/>
    <w:rsid w:val="008A5532"/>
    <w:rsid w:val="008B2C04"/>
    <w:rsid w:val="008D329C"/>
    <w:rsid w:val="008E67CD"/>
    <w:rsid w:val="008E73AD"/>
    <w:rsid w:val="00905849"/>
    <w:rsid w:val="009257A8"/>
    <w:rsid w:val="00935EDC"/>
    <w:rsid w:val="009417CB"/>
    <w:rsid w:val="009469CE"/>
    <w:rsid w:val="00946CBD"/>
    <w:rsid w:val="00947F35"/>
    <w:rsid w:val="0095297D"/>
    <w:rsid w:val="0095732B"/>
    <w:rsid w:val="00965F33"/>
    <w:rsid w:val="009676DC"/>
    <w:rsid w:val="00974F6F"/>
    <w:rsid w:val="0097666B"/>
    <w:rsid w:val="009A0C3F"/>
    <w:rsid w:val="009C4A28"/>
    <w:rsid w:val="009C707D"/>
    <w:rsid w:val="009D45F3"/>
    <w:rsid w:val="009E7244"/>
    <w:rsid w:val="009F0DF6"/>
    <w:rsid w:val="009F227B"/>
    <w:rsid w:val="00A00F3B"/>
    <w:rsid w:val="00A05E1E"/>
    <w:rsid w:val="00A06443"/>
    <w:rsid w:val="00A07692"/>
    <w:rsid w:val="00A12A45"/>
    <w:rsid w:val="00A214D1"/>
    <w:rsid w:val="00A26266"/>
    <w:rsid w:val="00A33276"/>
    <w:rsid w:val="00A44937"/>
    <w:rsid w:val="00A601C8"/>
    <w:rsid w:val="00A7283D"/>
    <w:rsid w:val="00A77652"/>
    <w:rsid w:val="00A876D2"/>
    <w:rsid w:val="00A91DD4"/>
    <w:rsid w:val="00AA4663"/>
    <w:rsid w:val="00AB6D1D"/>
    <w:rsid w:val="00AC7CBB"/>
    <w:rsid w:val="00AF0616"/>
    <w:rsid w:val="00AF4A77"/>
    <w:rsid w:val="00B00733"/>
    <w:rsid w:val="00B1154F"/>
    <w:rsid w:val="00B139FD"/>
    <w:rsid w:val="00B14C6C"/>
    <w:rsid w:val="00B15654"/>
    <w:rsid w:val="00B17762"/>
    <w:rsid w:val="00B50738"/>
    <w:rsid w:val="00B52F4E"/>
    <w:rsid w:val="00B72705"/>
    <w:rsid w:val="00B72FA1"/>
    <w:rsid w:val="00B7574E"/>
    <w:rsid w:val="00B87717"/>
    <w:rsid w:val="00B90541"/>
    <w:rsid w:val="00B97964"/>
    <w:rsid w:val="00BB74BA"/>
    <w:rsid w:val="00BB7BAF"/>
    <w:rsid w:val="00BD02B9"/>
    <w:rsid w:val="00BD4250"/>
    <w:rsid w:val="00BD55A3"/>
    <w:rsid w:val="00BD7A89"/>
    <w:rsid w:val="00BE1264"/>
    <w:rsid w:val="00BE72EA"/>
    <w:rsid w:val="00BF3C5B"/>
    <w:rsid w:val="00C003A3"/>
    <w:rsid w:val="00C0763B"/>
    <w:rsid w:val="00C17EB9"/>
    <w:rsid w:val="00C3147A"/>
    <w:rsid w:val="00C321A9"/>
    <w:rsid w:val="00C42B76"/>
    <w:rsid w:val="00C60615"/>
    <w:rsid w:val="00C61E6E"/>
    <w:rsid w:val="00C77356"/>
    <w:rsid w:val="00C82D41"/>
    <w:rsid w:val="00C848A1"/>
    <w:rsid w:val="00C9177C"/>
    <w:rsid w:val="00CB2C41"/>
    <w:rsid w:val="00CB3EDD"/>
    <w:rsid w:val="00CC64F8"/>
    <w:rsid w:val="00CD2FDD"/>
    <w:rsid w:val="00CD690C"/>
    <w:rsid w:val="00CE0063"/>
    <w:rsid w:val="00D619A3"/>
    <w:rsid w:val="00D61C50"/>
    <w:rsid w:val="00D6261F"/>
    <w:rsid w:val="00D656E5"/>
    <w:rsid w:val="00D657BA"/>
    <w:rsid w:val="00D76A64"/>
    <w:rsid w:val="00D86E0C"/>
    <w:rsid w:val="00D92AA5"/>
    <w:rsid w:val="00DA5265"/>
    <w:rsid w:val="00DB656C"/>
    <w:rsid w:val="00DC50E7"/>
    <w:rsid w:val="00DD6EFD"/>
    <w:rsid w:val="00DE0286"/>
    <w:rsid w:val="00DF1505"/>
    <w:rsid w:val="00DF2B92"/>
    <w:rsid w:val="00E274BE"/>
    <w:rsid w:val="00E31611"/>
    <w:rsid w:val="00E35F53"/>
    <w:rsid w:val="00E36E2A"/>
    <w:rsid w:val="00E450AB"/>
    <w:rsid w:val="00E573E8"/>
    <w:rsid w:val="00E70496"/>
    <w:rsid w:val="00E77025"/>
    <w:rsid w:val="00E776DF"/>
    <w:rsid w:val="00E86FCE"/>
    <w:rsid w:val="00EC7B9B"/>
    <w:rsid w:val="00ED30F9"/>
    <w:rsid w:val="00ED4599"/>
    <w:rsid w:val="00EE1B53"/>
    <w:rsid w:val="00EE3F17"/>
    <w:rsid w:val="00EF5634"/>
    <w:rsid w:val="00F02CF8"/>
    <w:rsid w:val="00F107F7"/>
    <w:rsid w:val="00F14AF4"/>
    <w:rsid w:val="00F37A75"/>
    <w:rsid w:val="00F41B23"/>
    <w:rsid w:val="00F65CAE"/>
    <w:rsid w:val="00F845FC"/>
    <w:rsid w:val="00F955D2"/>
    <w:rsid w:val="00FB3915"/>
    <w:rsid w:val="00FB7ED0"/>
    <w:rsid w:val="00FC386A"/>
    <w:rsid w:val="00FC4D9C"/>
    <w:rsid w:val="00FC7440"/>
    <w:rsid w:val="00FD64D7"/>
    <w:rsid w:val="00FD743E"/>
    <w:rsid w:val="00FE4EBF"/>
    <w:rsid w:val="00FF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91F4B4"/>
  <w15:docId w15:val="{7A4B2918-9D21-2F45-A2D1-63AEA537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uiPriority w:val="9"/>
    <w:qFormat/>
    <w:rsid w:val="008E67CD"/>
    <w:pPr>
      <w:keepNext/>
      <w:keepLines/>
      <w:spacing w:before="480"/>
      <w:outlineLvl w:val="0"/>
    </w:pPr>
    <w:rPr>
      <w:rFonts w:ascii="Century Gothic" w:eastAsia="MS Gothic" w:hAnsi="Century Gothic"/>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rsid w:val="008E67CD"/>
    <w:rPr>
      <w:rFonts w:ascii="Century Gothic" w:eastAsia="MS Gothic" w:hAnsi="Century Gothic"/>
      <w:b/>
      <w:bCs/>
      <w:sz w:val="28"/>
      <w:szCs w:val="22"/>
      <w:lang w:eastAsia="en-US"/>
    </w:rPr>
  </w:style>
  <w:style w:type="paragraph" w:customStyle="1" w:styleId="ColorfulList-Accent11">
    <w:name w:val="Colorful List - Accent 11"/>
    <w:basedOn w:val="Normal"/>
    <w:autoRedefine/>
    <w:uiPriority w:val="34"/>
    <w:rsid w:val="007D3E65"/>
    <w:pPr>
      <w:spacing w:before="0" w:after="160" w:line="259" w:lineRule="auto"/>
      <w:contextualSpacing/>
    </w:pPr>
    <w:rPr>
      <w:rFonts w:ascii="Century Gothic" w:eastAsia="Times New Roman" w:hAnsi="Century Gothic" w:cs="Arial"/>
      <w:b/>
      <w:sz w:val="22"/>
      <w:szCs w:val="22"/>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F227B"/>
    <w:pPr>
      <w:jc w:val="center"/>
    </w:pPr>
    <w:rPr>
      <w:color w:val="00B050"/>
      <w:sz w:val="52"/>
    </w:rPr>
  </w:style>
  <w:style w:type="character" w:customStyle="1" w:styleId="Title1Char">
    <w:name w:val="Title 1 Char"/>
    <w:link w:val="Title1"/>
    <w:rsid w:val="009F227B"/>
    <w:rPr>
      <w:rFonts w:ascii="Arial" w:eastAsia="MS Gothic" w:hAnsi="Arial"/>
      <w:b/>
      <w:bCs/>
      <w:color w:val="00B050"/>
      <w:sz w:val="52"/>
      <w:szCs w:val="3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apple-converted-space">
    <w:name w:val="apple-converted-space"/>
    <w:rsid w:val="00DD6EFD"/>
  </w:style>
  <w:style w:type="character" w:styleId="FollowedHyperlink">
    <w:name w:val="FollowedHyperlink"/>
    <w:uiPriority w:val="99"/>
    <w:semiHidden/>
    <w:unhideWhenUsed/>
    <w:rsid w:val="00891BCD"/>
    <w:rPr>
      <w:color w:val="954F72"/>
      <w:u w:val="single"/>
    </w:rPr>
  </w:style>
  <w:style w:type="paragraph" w:styleId="ListParagraph">
    <w:name w:val="List Paragraph"/>
    <w:basedOn w:val="Normal"/>
    <w:uiPriority w:val="34"/>
    <w:qFormat/>
    <w:rsid w:val="00891BCD"/>
    <w:pPr>
      <w:numPr>
        <w:numId w:val="1"/>
      </w:numPr>
    </w:pPr>
  </w:style>
  <w:style w:type="paragraph" w:styleId="NormalWeb">
    <w:name w:val="Normal (Web)"/>
    <w:basedOn w:val="Normal"/>
    <w:uiPriority w:val="99"/>
    <w:unhideWhenUsed/>
    <w:rsid w:val="000877ED"/>
    <w:pPr>
      <w:spacing w:before="100" w:beforeAutospacing="1" w:after="100" w:afterAutospacing="1"/>
    </w:pPr>
    <w:rPr>
      <w:rFonts w:ascii="Times New Roman" w:eastAsia="Times New Roman" w:hAnsi="Times New Roman"/>
      <w:sz w:val="24"/>
    </w:rPr>
  </w:style>
  <w:style w:type="paragraph" w:customStyle="1" w:styleId="Default">
    <w:name w:val="Default"/>
    <w:rsid w:val="005032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40532">
      <w:bodyDiv w:val="1"/>
      <w:marLeft w:val="0"/>
      <w:marRight w:val="0"/>
      <w:marTop w:val="0"/>
      <w:marBottom w:val="0"/>
      <w:divBdr>
        <w:top w:val="none" w:sz="0" w:space="0" w:color="auto"/>
        <w:left w:val="none" w:sz="0" w:space="0" w:color="auto"/>
        <w:bottom w:val="none" w:sz="0" w:space="0" w:color="auto"/>
        <w:right w:val="none" w:sz="0" w:space="0" w:color="auto"/>
      </w:divBdr>
      <w:divsChild>
        <w:div w:id="501508674">
          <w:marLeft w:val="0"/>
          <w:marRight w:val="0"/>
          <w:marTop w:val="0"/>
          <w:marBottom w:val="0"/>
          <w:divBdr>
            <w:top w:val="none" w:sz="0" w:space="0" w:color="auto"/>
            <w:left w:val="none" w:sz="0" w:space="0" w:color="auto"/>
            <w:bottom w:val="none" w:sz="0" w:space="0" w:color="auto"/>
            <w:right w:val="none" w:sz="0" w:space="0" w:color="auto"/>
          </w:divBdr>
          <w:divsChild>
            <w:div w:id="2117409838">
              <w:marLeft w:val="0"/>
              <w:marRight w:val="0"/>
              <w:marTop w:val="0"/>
              <w:marBottom w:val="0"/>
              <w:divBdr>
                <w:top w:val="none" w:sz="0" w:space="0" w:color="auto"/>
                <w:left w:val="none" w:sz="0" w:space="0" w:color="auto"/>
                <w:bottom w:val="none" w:sz="0" w:space="0" w:color="auto"/>
                <w:right w:val="none" w:sz="0" w:space="0" w:color="auto"/>
              </w:divBdr>
              <w:divsChild>
                <w:div w:id="442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71731">
      <w:bodyDiv w:val="1"/>
      <w:marLeft w:val="0"/>
      <w:marRight w:val="0"/>
      <w:marTop w:val="0"/>
      <w:marBottom w:val="0"/>
      <w:divBdr>
        <w:top w:val="none" w:sz="0" w:space="0" w:color="auto"/>
        <w:left w:val="none" w:sz="0" w:space="0" w:color="auto"/>
        <w:bottom w:val="none" w:sz="0" w:space="0" w:color="auto"/>
        <w:right w:val="none" w:sz="0" w:space="0" w:color="auto"/>
      </w:divBdr>
      <w:divsChild>
        <w:div w:id="1424957553">
          <w:marLeft w:val="0"/>
          <w:marRight w:val="0"/>
          <w:marTop w:val="0"/>
          <w:marBottom w:val="0"/>
          <w:divBdr>
            <w:top w:val="none" w:sz="0" w:space="0" w:color="auto"/>
            <w:left w:val="none" w:sz="0" w:space="0" w:color="auto"/>
            <w:bottom w:val="none" w:sz="0" w:space="0" w:color="auto"/>
            <w:right w:val="none" w:sz="0" w:space="0" w:color="auto"/>
          </w:divBdr>
          <w:divsChild>
            <w:div w:id="660548073">
              <w:marLeft w:val="0"/>
              <w:marRight w:val="0"/>
              <w:marTop w:val="0"/>
              <w:marBottom w:val="0"/>
              <w:divBdr>
                <w:top w:val="none" w:sz="0" w:space="0" w:color="auto"/>
                <w:left w:val="none" w:sz="0" w:space="0" w:color="auto"/>
                <w:bottom w:val="none" w:sz="0" w:space="0" w:color="auto"/>
                <w:right w:val="none" w:sz="0" w:space="0" w:color="auto"/>
              </w:divBdr>
              <w:divsChild>
                <w:div w:id="18116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840201459">
      <w:bodyDiv w:val="1"/>
      <w:marLeft w:val="0"/>
      <w:marRight w:val="0"/>
      <w:marTop w:val="0"/>
      <w:marBottom w:val="0"/>
      <w:divBdr>
        <w:top w:val="none" w:sz="0" w:space="0" w:color="auto"/>
        <w:left w:val="none" w:sz="0" w:space="0" w:color="auto"/>
        <w:bottom w:val="none" w:sz="0" w:space="0" w:color="auto"/>
        <w:right w:val="none" w:sz="0" w:space="0" w:color="auto"/>
      </w:divBdr>
      <w:divsChild>
        <w:div w:id="97071022">
          <w:marLeft w:val="0"/>
          <w:marRight w:val="0"/>
          <w:marTop w:val="0"/>
          <w:marBottom w:val="0"/>
          <w:divBdr>
            <w:top w:val="none" w:sz="0" w:space="0" w:color="auto"/>
            <w:left w:val="none" w:sz="0" w:space="0" w:color="auto"/>
            <w:bottom w:val="none" w:sz="0" w:space="0" w:color="auto"/>
            <w:right w:val="none" w:sz="0" w:space="0" w:color="auto"/>
          </w:divBdr>
          <w:divsChild>
            <w:div w:id="813327577">
              <w:marLeft w:val="0"/>
              <w:marRight w:val="0"/>
              <w:marTop w:val="0"/>
              <w:marBottom w:val="0"/>
              <w:divBdr>
                <w:top w:val="none" w:sz="0" w:space="0" w:color="auto"/>
                <w:left w:val="none" w:sz="0" w:space="0" w:color="auto"/>
                <w:bottom w:val="none" w:sz="0" w:space="0" w:color="auto"/>
                <w:right w:val="none" w:sz="0" w:space="0" w:color="auto"/>
              </w:divBdr>
              <w:divsChild>
                <w:div w:id="169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3028">
      <w:bodyDiv w:val="1"/>
      <w:marLeft w:val="0"/>
      <w:marRight w:val="0"/>
      <w:marTop w:val="0"/>
      <w:marBottom w:val="0"/>
      <w:divBdr>
        <w:top w:val="none" w:sz="0" w:space="0" w:color="auto"/>
        <w:left w:val="none" w:sz="0" w:space="0" w:color="auto"/>
        <w:bottom w:val="none" w:sz="0" w:space="0" w:color="auto"/>
        <w:right w:val="none" w:sz="0" w:space="0" w:color="auto"/>
      </w:divBdr>
      <w:divsChild>
        <w:div w:id="429861195">
          <w:marLeft w:val="0"/>
          <w:marRight w:val="0"/>
          <w:marTop w:val="0"/>
          <w:marBottom w:val="0"/>
          <w:divBdr>
            <w:top w:val="none" w:sz="0" w:space="0" w:color="auto"/>
            <w:left w:val="none" w:sz="0" w:space="0" w:color="auto"/>
            <w:bottom w:val="none" w:sz="0" w:space="0" w:color="auto"/>
            <w:right w:val="none" w:sz="0" w:space="0" w:color="auto"/>
          </w:divBdr>
          <w:divsChild>
            <w:div w:id="1322274939">
              <w:marLeft w:val="0"/>
              <w:marRight w:val="0"/>
              <w:marTop w:val="0"/>
              <w:marBottom w:val="0"/>
              <w:divBdr>
                <w:top w:val="none" w:sz="0" w:space="0" w:color="auto"/>
                <w:left w:val="none" w:sz="0" w:space="0" w:color="auto"/>
                <w:bottom w:val="none" w:sz="0" w:space="0" w:color="auto"/>
                <w:right w:val="none" w:sz="0" w:space="0" w:color="auto"/>
              </w:divBdr>
              <w:divsChild>
                <w:div w:id="2009359869">
                  <w:marLeft w:val="0"/>
                  <w:marRight w:val="0"/>
                  <w:marTop w:val="0"/>
                  <w:marBottom w:val="0"/>
                  <w:divBdr>
                    <w:top w:val="none" w:sz="0" w:space="0" w:color="auto"/>
                    <w:left w:val="none" w:sz="0" w:space="0" w:color="auto"/>
                    <w:bottom w:val="none" w:sz="0" w:space="0" w:color="auto"/>
                    <w:right w:val="none" w:sz="0" w:space="0" w:color="auto"/>
                  </w:divBdr>
                </w:div>
              </w:divsChild>
            </w:div>
            <w:div w:id="1890724316">
              <w:marLeft w:val="0"/>
              <w:marRight w:val="0"/>
              <w:marTop w:val="0"/>
              <w:marBottom w:val="0"/>
              <w:divBdr>
                <w:top w:val="none" w:sz="0" w:space="0" w:color="auto"/>
                <w:left w:val="none" w:sz="0" w:space="0" w:color="auto"/>
                <w:bottom w:val="none" w:sz="0" w:space="0" w:color="auto"/>
                <w:right w:val="none" w:sz="0" w:space="0" w:color="auto"/>
              </w:divBdr>
              <w:divsChild>
                <w:div w:id="7868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5435">
          <w:marLeft w:val="0"/>
          <w:marRight w:val="0"/>
          <w:marTop w:val="0"/>
          <w:marBottom w:val="0"/>
          <w:divBdr>
            <w:top w:val="none" w:sz="0" w:space="0" w:color="auto"/>
            <w:left w:val="none" w:sz="0" w:space="0" w:color="auto"/>
            <w:bottom w:val="none" w:sz="0" w:space="0" w:color="auto"/>
            <w:right w:val="none" w:sz="0" w:space="0" w:color="auto"/>
          </w:divBdr>
          <w:divsChild>
            <w:div w:id="1065296219">
              <w:marLeft w:val="0"/>
              <w:marRight w:val="0"/>
              <w:marTop w:val="0"/>
              <w:marBottom w:val="0"/>
              <w:divBdr>
                <w:top w:val="none" w:sz="0" w:space="0" w:color="auto"/>
                <w:left w:val="none" w:sz="0" w:space="0" w:color="auto"/>
                <w:bottom w:val="none" w:sz="0" w:space="0" w:color="auto"/>
                <w:right w:val="none" w:sz="0" w:space="0" w:color="auto"/>
              </w:divBdr>
              <w:divsChild>
                <w:div w:id="11766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47804">
      <w:bodyDiv w:val="1"/>
      <w:marLeft w:val="0"/>
      <w:marRight w:val="0"/>
      <w:marTop w:val="0"/>
      <w:marBottom w:val="0"/>
      <w:divBdr>
        <w:top w:val="none" w:sz="0" w:space="0" w:color="auto"/>
        <w:left w:val="none" w:sz="0" w:space="0" w:color="auto"/>
        <w:bottom w:val="none" w:sz="0" w:space="0" w:color="auto"/>
        <w:right w:val="none" w:sz="0" w:space="0" w:color="auto"/>
      </w:divBdr>
      <w:divsChild>
        <w:div w:id="233515717">
          <w:marLeft w:val="0"/>
          <w:marRight w:val="0"/>
          <w:marTop w:val="0"/>
          <w:marBottom w:val="0"/>
          <w:divBdr>
            <w:top w:val="none" w:sz="0" w:space="0" w:color="auto"/>
            <w:left w:val="none" w:sz="0" w:space="0" w:color="auto"/>
            <w:bottom w:val="none" w:sz="0" w:space="0" w:color="auto"/>
            <w:right w:val="none" w:sz="0" w:space="0" w:color="auto"/>
          </w:divBdr>
          <w:divsChild>
            <w:div w:id="1690794536">
              <w:marLeft w:val="0"/>
              <w:marRight w:val="0"/>
              <w:marTop w:val="0"/>
              <w:marBottom w:val="0"/>
              <w:divBdr>
                <w:top w:val="none" w:sz="0" w:space="0" w:color="auto"/>
                <w:left w:val="none" w:sz="0" w:space="0" w:color="auto"/>
                <w:bottom w:val="none" w:sz="0" w:space="0" w:color="auto"/>
                <w:right w:val="none" w:sz="0" w:space="0" w:color="auto"/>
              </w:divBdr>
              <w:divsChild>
                <w:div w:id="20713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07947">
      <w:bodyDiv w:val="1"/>
      <w:marLeft w:val="0"/>
      <w:marRight w:val="0"/>
      <w:marTop w:val="0"/>
      <w:marBottom w:val="0"/>
      <w:divBdr>
        <w:top w:val="none" w:sz="0" w:space="0" w:color="auto"/>
        <w:left w:val="none" w:sz="0" w:space="0" w:color="auto"/>
        <w:bottom w:val="none" w:sz="0" w:space="0" w:color="auto"/>
        <w:right w:val="none" w:sz="0" w:space="0" w:color="auto"/>
      </w:divBdr>
      <w:divsChild>
        <w:div w:id="597256982">
          <w:marLeft w:val="0"/>
          <w:marRight w:val="0"/>
          <w:marTop w:val="0"/>
          <w:marBottom w:val="0"/>
          <w:divBdr>
            <w:top w:val="none" w:sz="0" w:space="0" w:color="auto"/>
            <w:left w:val="none" w:sz="0" w:space="0" w:color="auto"/>
            <w:bottom w:val="none" w:sz="0" w:space="0" w:color="auto"/>
            <w:right w:val="none" w:sz="0" w:space="0" w:color="auto"/>
          </w:divBdr>
          <w:divsChild>
            <w:div w:id="1956015760">
              <w:marLeft w:val="0"/>
              <w:marRight w:val="0"/>
              <w:marTop w:val="0"/>
              <w:marBottom w:val="0"/>
              <w:divBdr>
                <w:top w:val="none" w:sz="0" w:space="0" w:color="auto"/>
                <w:left w:val="none" w:sz="0" w:space="0" w:color="auto"/>
                <w:bottom w:val="none" w:sz="0" w:space="0" w:color="auto"/>
                <w:right w:val="none" w:sz="0" w:space="0" w:color="auto"/>
              </w:divBdr>
              <w:divsChild>
                <w:div w:id="10307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9041">
      <w:bodyDiv w:val="1"/>
      <w:marLeft w:val="0"/>
      <w:marRight w:val="0"/>
      <w:marTop w:val="0"/>
      <w:marBottom w:val="0"/>
      <w:divBdr>
        <w:top w:val="none" w:sz="0" w:space="0" w:color="auto"/>
        <w:left w:val="none" w:sz="0" w:space="0" w:color="auto"/>
        <w:bottom w:val="none" w:sz="0" w:space="0" w:color="auto"/>
        <w:right w:val="none" w:sz="0" w:space="0" w:color="auto"/>
      </w:divBdr>
      <w:divsChild>
        <w:div w:id="538973961">
          <w:marLeft w:val="0"/>
          <w:marRight w:val="0"/>
          <w:marTop w:val="0"/>
          <w:marBottom w:val="0"/>
          <w:divBdr>
            <w:top w:val="none" w:sz="0" w:space="0" w:color="auto"/>
            <w:left w:val="none" w:sz="0" w:space="0" w:color="auto"/>
            <w:bottom w:val="none" w:sz="0" w:space="0" w:color="auto"/>
            <w:right w:val="none" w:sz="0" w:space="0" w:color="auto"/>
          </w:divBdr>
          <w:divsChild>
            <w:div w:id="2104952493">
              <w:marLeft w:val="0"/>
              <w:marRight w:val="0"/>
              <w:marTop w:val="0"/>
              <w:marBottom w:val="0"/>
              <w:divBdr>
                <w:top w:val="none" w:sz="0" w:space="0" w:color="auto"/>
                <w:left w:val="none" w:sz="0" w:space="0" w:color="auto"/>
                <w:bottom w:val="none" w:sz="0" w:space="0" w:color="auto"/>
                <w:right w:val="none" w:sz="0" w:space="0" w:color="auto"/>
              </w:divBdr>
              <w:divsChild>
                <w:div w:id="14907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17674">
      <w:bodyDiv w:val="1"/>
      <w:marLeft w:val="0"/>
      <w:marRight w:val="0"/>
      <w:marTop w:val="0"/>
      <w:marBottom w:val="0"/>
      <w:divBdr>
        <w:top w:val="none" w:sz="0" w:space="0" w:color="auto"/>
        <w:left w:val="none" w:sz="0" w:space="0" w:color="auto"/>
        <w:bottom w:val="none" w:sz="0" w:space="0" w:color="auto"/>
        <w:right w:val="none" w:sz="0" w:space="0" w:color="auto"/>
      </w:divBdr>
      <w:divsChild>
        <w:div w:id="1271619623">
          <w:marLeft w:val="0"/>
          <w:marRight w:val="0"/>
          <w:marTop w:val="0"/>
          <w:marBottom w:val="0"/>
          <w:divBdr>
            <w:top w:val="none" w:sz="0" w:space="0" w:color="auto"/>
            <w:left w:val="none" w:sz="0" w:space="0" w:color="auto"/>
            <w:bottom w:val="none" w:sz="0" w:space="0" w:color="auto"/>
            <w:right w:val="none" w:sz="0" w:space="0" w:color="auto"/>
          </w:divBdr>
          <w:divsChild>
            <w:div w:id="1041830355">
              <w:marLeft w:val="0"/>
              <w:marRight w:val="0"/>
              <w:marTop w:val="0"/>
              <w:marBottom w:val="0"/>
              <w:divBdr>
                <w:top w:val="none" w:sz="0" w:space="0" w:color="auto"/>
                <w:left w:val="none" w:sz="0" w:space="0" w:color="auto"/>
                <w:bottom w:val="none" w:sz="0" w:space="0" w:color="auto"/>
                <w:right w:val="none" w:sz="0" w:space="0" w:color="auto"/>
              </w:divBdr>
              <w:divsChild>
                <w:div w:id="2962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3056">
      <w:bodyDiv w:val="1"/>
      <w:marLeft w:val="0"/>
      <w:marRight w:val="0"/>
      <w:marTop w:val="0"/>
      <w:marBottom w:val="0"/>
      <w:divBdr>
        <w:top w:val="none" w:sz="0" w:space="0" w:color="auto"/>
        <w:left w:val="none" w:sz="0" w:space="0" w:color="auto"/>
        <w:bottom w:val="none" w:sz="0" w:space="0" w:color="auto"/>
        <w:right w:val="none" w:sz="0" w:space="0" w:color="auto"/>
      </w:divBdr>
      <w:divsChild>
        <w:div w:id="1829861994">
          <w:marLeft w:val="0"/>
          <w:marRight w:val="0"/>
          <w:marTop w:val="0"/>
          <w:marBottom w:val="0"/>
          <w:divBdr>
            <w:top w:val="none" w:sz="0" w:space="0" w:color="auto"/>
            <w:left w:val="none" w:sz="0" w:space="0" w:color="auto"/>
            <w:bottom w:val="none" w:sz="0" w:space="0" w:color="auto"/>
            <w:right w:val="none" w:sz="0" w:space="0" w:color="auto"/>
          </w:divBdr>
          <w:divsChild>
            <w:div w:id="1662541903">
              <w:marLeft w:val="0"/>
              <w:marRight w:val="0"/>
              <w:marTop w:val="0"/>
              <w:marBottom w:val="0"/>
              <w:divBdr>
                <w:top w:val="none" w:sz="0" w:space="0" w:color="auto"/>
                <w:left w:val="none" w:sz="0" w:space="0" w:color="auto"/>
                <w:bottom w:val="none" w:sz="0" w:space="0" w:color="auto"/>
                <w:right w:val="none" w:sz="0" w:space="0" w:color="auto"/>
              </w:divBdr>
              <w:divsChild>
                <w:div w:id="257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0258-D243-4C1E-AE33-AA2760D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11274</CharactersWithSpaces>
  <SharedDoc>false</SharedDoc>
  <HLinks>
    <vt:vector size="30" baseType="variant">
      <vt:variant>
        <vt:i4>6225929</vt:i4>
      </vt:variant>
      <vt:variant>
        <vt:i4>15</vt:i4>
      </vt:variant>
      <vt:variant>
        <vt:i4>0</vt:i4>
      </vt:variant>
      <vt:variant>
        <vt:i4>5</vt:i4>
      </vt:variant>
      <vt:variant>
        <vt:lpwstr>https://www.cambridgeshire.gov.uk/residents/children-and-families/local-offer/about-cambridgeshire-s-local-offer</vt:lpwstr>
      </vt:variant>
      <vt:variant>
        <vt:lpwstr/>
      </vt:variant>
      <vt:variant>
        <vt:i4>6225929</vt:i4>
      </vt:variant>
      <vt:variant>
        <vt:i4>12</vt:i4>
      </vt:variant>
      <vt:variant>
        <vt:i4>0</vt:i4>
      </vt:variant>
      <vt:variant>
        <vt:i4>5</vt:i4>
      </vt:variant>
      <vt:variant>
        <vt:lpwstr>https://www.cambridgeshire.gov.uk/residents/children-and-families/local-offer/about-cambridgeshire-s-local-offer</vt:lpwstr>
      </vt:variant>
      <vt:variant>
        <vt:lpwstr/>
      </vt:variant>
      <vt:variant>
        <vt:i4>6422560</vt:i4>
      </vt:variant>
      <vt:variant>
        <vt:i4>9</vt:i4>
      </vt:variant>
      <vt:variant>
        <vt:i4>0</vt:i4>
      </vt:variant>
      <vt:variant>
        <vt:i4>5</vt:i4>
      </vt:variant>
      <vt:variant>
        <vt:lpwstr>http://www.legislation.gov.uk/uksi/2014/1530/contents/made</vt:lpwstr>
      </vt:variant>
      <vt:variant>
        <vt:lpwstr/>
      </vt:variant>
      <vt:variant>
        <vt:i4>4325469</vt:i4>
      </vt:variant>
      <vt:variant>
        <vt:i4>6</vt:i4>
      </vt:variant>
      <vt:variant>
        <vt:i4>0</vt:i4>
      </vt:variant>
      <vt:variant>
        <vt:i4>5</vt:i4>
      </vt:variant>
      <vt:variant>
        <vt:lpwstr>http://www.legislation.gov.uk/ukpga/2014/6/part/3</vt:lpwstr>
      </vt:variant>
      <vt:variant>
        <vt:lpwstr/>
      </vt:variant>
      <vt:variant>
        <vt:i4>1638411</vt:i4>
      </vt:variant>
      <vt:variant>
        <vt:i4>3</vt:i4>
      </vt:variant>
      <vt:variant>
        <vt:i4>0</vt:i4>
      </vt:variant>
      <vt:variant>
        <vt:i4>5</vt:i4>
      </vt:variant>
      <vt:variant>
        <vt:lpwstr>https://www.gov.uk/government/uploads/system/uploads/attachment_data/file/398815/SEND_Code_of_Practice_January_2015.pdf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Steve Down</cp:lastModifiedBy>
  <cp:revision>12</cp:revision>
  <dcterms:created xsi:type="dcterms:W3CDTF">2020-06-04T13:08:00Z</dcterms:created>
  <dcterms:modified xsi:type="dcterms:W3CDTF">2022-11-02T13:13:00Z</dcterms:modified>
</cp:coreProperties>
</file>